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58" w:rsidRPr="005824CB" w:rsidRDefault="00CA1958">
      <w:pPr>
        <w:pStyle w:val="Naslov"/>
        <w:rPr>
          <w:sz w:val="28"/>
        </w:rPr>
      </w:pPr>
      <w:r w:rsidRPr="005824CB">
        <w:rPr>
          <w:sz w:val="28"/>
        </w:rPr>
        <w:t>BOSNA I HERCEGOVINA</w:t>
      </w:r>
    </w:p>
    <w:p w:rsidR="00CA1958" w:rsidRPr="005824CB" w:rsidRDefault="00CA1958">
      <w:pPr>
        <w:pStyle w:val="Naslov"/>
        <w:rPr>
          <w:sz w:val="28"/>
        </w:rPr>
      </w:pPr>
      <w:r w:rsidRPr="005824CB">
        <w:rPr>
          <w:sz w:val="28"/>
        </w:rPr>
        <w:t>FEDERACIJA BOSNE I HERCEGOVINE</w:t>
      </w:r>
    </w:p>
    <w:p w:rsidR="00CA1958" w:rsidRPr="005824CB" w:rsidRDefault="00CA1958">
      <w:pPr>
        <w:pStyle w:val="Naslov"/>
        <w:rPr>
          <w:sz w:val="28"/>
        </w:rPr>
      </w:pPr>
      <w:r w:rsidRPr="005824CB">
        <w:rPr>
          <w:sz w:val="28"/>
        </w:rPr>
        <w:t>ŽUPANIJA POSAVSKA</w:t>
      </w:r>
    </w:p>
    <w:p w:rsidR="00CA1958" w:rsidRPr="005824CB" w:rsidRDefault="00163E89">
      <w:pPr>
        <w:pStyle w:val="Naslov"/>
        <w:rPr>
          <w:sz w:val="28"/>
        </w:rPr>
      </w:pPr>
      <w:r w:rsidRPr="005824CB">
        <w:rPr>
          <w:sz w:val="28"/>
        </w:rPr>
        <w:t>S K U P Š T I N A</w:t>
      </w: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tbl>
      <w:tblPr>
        <w:tblW w:w="0" w:type="auto"/>
        <w:tblLook w:val="0000"/>
      </w:tblPr>
      <w:tblGrid>
        <w:gridCol w:w="2268"/>
        <w:gridCol w:w="7331"/>
      </w:tblGrid>
      <w:tr w:rsidR="00CA1958" w:rsidRPr="005824CB">
        <w:tc>
          <w:tcPr>
            <w:tcW w:w="2268" w:type="dxa"/>
            <w:shd w:val="clear" w:color="auto" w:fill="404040"/>
          </w:tcPr>
          <w:p w:rsidR="00CA1958" w:rsidRPr="005824CB" w:rsidRDefault="00CA1958" w:rsidP="00BA464E">
            <w:pPr>
              <w:pStyle w:val="Naslov"/>
              <w:rPr>
                <w:color w:val="FFFFFF"/>
                <w:sz w:val="72"/>
              </w:rPr>
            </w:pPr>
            <w:r w:rsidRPr="005824CB">
              <w:rPr>
                <w:color w:val="FFFFFF"/>
                <w:sz w:val="72"/>
              </w:rPr>
              <w:t>20</w:t>
            </w:r>
            <w:r w:rsidR="00C756C2">
              <w:rPr>
                <w:color w:val="FFFFFF"/>
                <w:sz w:val="72"/>
              </w:rPr>
              <w:t>2</w:t>
            </w:r>
            <w:r w:rsidR="00BA464E">
              <w:rPr>
                <w:color w:val="FFFFFF"/>
                <w:sz w:val="72"/>
              </w:rPr>
              <w:t>1</w:t>
            </w:r>
          </w:p>
        </w:tc>
        <w:tc>
          <w:tcPr>
            <w:tcW w:w="7331" w:type="dxa"/>
          </w:tcPr>
          <w:p w:rsidR="00CA1958" w:rsidRPr="005824CB" w:rsidRDefault="00CA1958">
            <w:pPr>
              <w:pStyle w:val="Naslov"/>
              <w:rPr>
                <w:sz w:val="28"/>
              </w:rPr>
            </w:pPr>
          </w:p>
        </w:tc>
      </w:tr>
      <w:tr w:rsidR="00CA1958" w:rsidRPr="005824CB">
        <w:trPr>
          <w:trHeight w:val="1418"/>
        </w:trPr>
        <w:tc>
          <w:tcPr>
            <w:tcW w:w="2268" w:type="dxa"/>
            <w:vAlign w:val="center"/>
          </w:tcPr>
          <w:p w:rsidR="00CA1958" w:rsidRPr="005824CB" w:rsidRDefault="00CA1958">
            <w:pPr>
              <w:pStyle w:val="Naslov"/>
              <w:rPr>
                <w:sz w:val="28"/>
              </w:rPr>
            </w:pPr>
          </w:p>
        </w:tc>
        <w:tc>
          <w:tcPr>
            <w:tcW w:w="7331" w:type="dxa"/>
            <w:shd w:val="clear" w:color="auto" w:fill="CCCCCC"/>
            <w:vAlign w:val="center"/>
          </w:tcPr>
          <w:p w:rsidR="00CA1958" w:rsidRPr="005824CB" w:rsidRDefault="00CA1958" w:rsidP="00BA464E">
            <w:pPr>
              <w:pStyle w:val="Naslov"/>
              <w:rPr>
                <w:sz w:val="28"/>
              </w:rPr>
            </w:pPr>
            <w:r w:rsidRPr="005824CB">
              <w:rPr>
                <w:sz w:val="28"/>
              </w:rPr>
              <w:t>OBRAZLOŽENJE PRORAČUNA ŽUPANIJE POSAVSKE ZA 20</w:t>
            </w:r>
            <w:r w:rsidR="00C756C2">
              <w:rPr>
                <w:sz w:val="28"/>
              </w:rPr>
              <w:t>2</w:t>
            </w:r>
            <w:r w:rsidR="00BA464E">
              <w:rPr>
                <w:sz w:val="28"/>
              </w:rPr>
              <w:t>1</w:t>
            </w:r>
            <w:r w:rsidRPr="005824CB">
              <w:rPr>
                <w:sz w:val="28"/>
              </w:rPr>
              <w:t>. GODINU</w:t>
            </w:r>
          </w:p>
        </w:tc>
      </w:tr>
    </w:tbl>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CA1958">
      <w:pPr>
        <w:pStyle w:val="Naslov"/>
        <w:rPr>
          <w:sz w:val="28"/>
        </w:rPr>
      </w:pPr>
    </w:p>
    <w:p w:rsidR="00CA1958" w:rsidRPr="005824CB" w:rsidRDefault="00163E89">
      <w:pPr>
        <w:jc w:val="center"/>
        <w:rPr>
          <w:b/>
          <w:bCs/>
          <w:sz w:val="28"/>
          <w:lang w:val="hr-HR"/>
        </w:rPr>
      </w:pPr>
      <w:r w:rsidRPr="005824CB">
        <w:rPr>
          <w:sz w:val="28"/>
          <w:lang w:val="hr-HR"/>
        </w:rPr>
        <w:t>Domaljevac</w:t>
      </w:r>
      <w:r w:rsidR="00CA1958" w:rsidRPr="005824CB">
        <w:rPr>
          <w:sz w:val="28"/>
          <w:lang w:val="hr-HR"/>
        </w:rPr>
        <w:t>, prosinac 20</w:t>
      </w:r>
      <w:r w:rsidR="00BA464E">
        <w:rPr>
          <w:sz w:val="28"/>
          <w:lang w:val="hr-HR"/>
        </w:rPr>
        <w:t>20</w:t>
      </w:r>
      <w:r w:rsidR="00CA1958" w:rsidRPr="005824CB">
        <w:rPr>
          <w:sz w:val="28"/>
          <w:lang w:val="hr-HR"/>
        </w:rPr>
        <w:t>. godine</w:t>
      </w:r>
      <w:r w:rsidR="00CA1958" w:rsidRPr="005824CB">
        <w:rPr>
          <w:sz w:val="28"/>
          <w:lang w:val="hr-HR"/>
        </w:rPr>
        <w:br w:type="page"/>
      </w:r>
    </w:p>
    <w:tbl>
      <w:tblPr>
        <w:tblW w:w="0" w:type="auto"/>
        <w:tblLook w:val="0000"/>
      </w:tblPr>
      <w:tblGrid>
        <w:gridCol w:w="828"/>
        <w:gridCol w:w="8771"/>
      </w:tblGrid>
      <w:tr w:rsidR="00CA1958" w:rsidRPr="005824CB">
        <w:tc>
          <w:tcPr>
            <w:tcW w:w="828" w:type="dxa"/>
            <w:shd w:val="clear" w:color="auto" w:fill="404040"/>
          </w:tcPr>
          <w:p w:rsidR="00CA1958" w:rsidRPr="005824CB" w:rsidRDefault="00CA1958">
            <w:pPr>
              <w:pStyle w:val="Naslov"/>
              <w:rPr>
                <w:color w:val="FFFFFF"/>
              </w:rPr>
            </w:pPr>
            <w:r w:rsidRPr="005824CB">
              <w:rPr>
                <w:color w:val="FFFFFF"/>
              </w:rPr>
              <w:lastRenderedPageBreak/>
              <w:t>1.</w:t>
            </w:r>
          </w:p>
        </w:tc>
        <w:tc>
          <w:tcPr>
            <w:tcW w:w="8771" w:type="dxa"/>
          </w:tcPr>
          <w:p w:rsidR="00CA1958" w:rsidRPr="005824CB" w:rsidRDefault="00CA1958">
            <w:pPr>
              <w:pStyle w:val="Naslov"/>
              <w:jc w:val="left"/>
            </w:pPr>
            <w:r w:rsidRPr="005824CB">
              <w:t>UVOD</w:t>
            </w:r>
          </w:p>
        </w:tc>
      </w:tr>
    </w:tbl>
    <w:p w:rsidR="00CA1958" w:rsidRPr="005824CB" w:rsidRDefault="00CA1958">
      <w:pPr>
        <w:jc w:val="center"/>
        <w:rPr>
          <w:b/>
          <w:bCs/>
          <w:sz w:val="28"/>
          <w:lang w:val="hr-HR"/>
        </w:rPr>
      </w:pPr>
    </w:p>
    <w:p w:rsidR="00A66BD5" w:rsidRPr="005824CB" w:rsidRDefault="0083585D" w:rsidP="00581DC1">
      <w:pPr>
        <w:pStyle w:val="Default"/>
        <w:spacing w:after="120"/>
        <w:ind w:firstLine="720"/>
        <w:jc w:val="both"/>
      </w:pPr>
      <w:r>
        <w:t xml:space="preserve">U uvjetima globalne neizvjesnosti u pogledu kretanja </w:t>
      </w:r>
      <w:proofErr w:type="spellStart"/>
      <w:r>
        <w:t>pandemije</w:t>
      </w:r>
      <w:proofErr w:type="spellEnd"/>
      <w:r>
        <w:t xml:space="preserve"> COVID-19 virusa, a uzimajući u obzir razvoj situacije u </w:t>
      </w:r>
      <w:r w:rsidR="005655B8">
        <w:t>drugoj polovici</w:t>
      </w:r>
      <w:r>
        <w:t xml:space="preserve"> 2020. godine, </w:t>
      </w:r>
      <w:r w:rsidR="005655B8">
        <w:t>s</w:t>
      </w:r>
      <w:r w:rsidR="00C756C2">
        <w:t>redinom</w:t>
      </w:r>
      <w:r w:rsidR="00DC2672" w:rsidRPr="005824CB">
        <w:t xml:space="preserve"> </w:t>
      </w:r>
      <w:r w:rsidR="00632221">
        <w:t>listopada</w:t>
      </w:r>
      <w:r w:rsidR="00DC2672" w:rsidRPr="005824CB">
        <w:t xml:space="preserve"> 20</w:t>
      </w:r>
      <w:r w:rsidR="00632221">
        <w:t>20</w:t>
      </w:r>
      <w:r w:rsidR="00DC2672" w:rsidRPr="005824CB">
        <w:t xml:space="preserve">. godine pristupilo </w:t>
      </w:r>
      <w:r w:rsidR="00632221">
        <w:t>se</w:t>
      </w:r>
      <w:r w:rsidR="00DC2672" w:rsidRPr="005824CB">
        <w:t xml:space="preserve"> procesu izrade Proračuna Županije Posavske za 20</w:t>
      </w:r>
      <w:r w:rsidR="00C756C2">
        <w:t>2</w:t>
      </w:r>
      <w:r w:rsidR="00632221">
        <w:t>1</w:t>
      </w:r>
      <w:r w:rsidR="00DC2672" w:rsidRPr="005824CB">
        <w:t xml:space="preserve">. godinu. Nakon analize i konsolidacije prikupljenih proračunskih zahtjeva, te obavljenih razgovora s predstavnicima proračunskih korisnika, Ministarstvo financija Županije Posavske je sačinilo, a Vlada Županije Posavske utvrdila prijedlog </w:t>
      </w:r>
      <w:r w:rsidR="00F003CF" w:rsidRPr="005824CB">
        <w:t>Pr</w:t>
      </w:r>
      <w:r w:rsidR="00C756C2">
        <w:t>oračuna Županije Posavske za 202</w:t>
      </w:r>
      <w:r w:rsidR="00632221">
        <w:t>1</w:t>
      </w:r>
      <w:r w:rsidR="00F003CF" w:rsidRPr="005824CB">
        <w:t>. godinu</w:t>
      </w:r>
      <w:r w:rsidR="00DC2672" w:rsidRPr="005824CB">
        <w:t>.</w:t>
      </w:r>
      <w:r w:rsidR="00F003CF" w:rsidRPr="005824CB">
        <w:t xml:space="preserve"> </w:t>
      </w:r>
      <w:r w:rsidR="00DC2672" w:rsidRPr="005824CB">
        <w:t>Prijedlog Pr</w:t>
      </w:r>
      <w:r w:rsidR="00C756C2">
        <w:t>oračuna Županije Posavske za 202</w:t>
      </w:r>
      <w:r w:rsidR="00632221">
        <w:t>1</w:t>
      </w:r>
      <w:r w:rsidR="00DC2672" w:rsidRPr="005824CB">
        <w:t xml:space="preserve">. godinu </w:t>
      </w:r>
      <w:r w:rsidR="00C756C2">
        <w:t>veći</w:t>
      </w:r>
      <w:r w:rsidR="00F003CF" w:rsidRPr="005824CB">
        <w:t xml:space="preserve"> je od Proračuna </w:t>
      </w:r>
      <w:r w:rsidR="00DC2672" w:rsidRPr="005824CB">
        <w:t xml:space="preserve">Županije Posavske </w:t>
      </w:r>
      <w:r w:rsidR="00F003CF" w:rsidRPr="005824CB">
        <w:t>za 20</w:t>
      </w:r>
      <w:r w:rsidR="00632221">
        <w:t>20</w:t>
      </w:r>
      <w:r w:rsidR="00F003CF" w:rsidRPr="005824CB">
        <w:t>. godinu</w:t>
      </w:r>
      <w:r w:rsidR="00632221">
        <w:t xml:space="preserve"> („Narodne novine Županije Posavske“, broj: 15/19, 6/20 i 14/20)</w:t>
      </w:r>
      <w:r w:rsidR="00F003CF" w:rsidRPr="005824CB">
        <w:t xml:space="preserve"> (promatrajući ukupne prihode, primitke i financiranje) za </w:t>
      </w:r>
      <w:r w:rsidR="00632221">
        <w:t>1,81</w:t>
      </w:r>
      <w:r w:rsidR="00F003CF" w:rsidRPr="005824CB">
        <w:t>%, odnosno u apsolutnom iznosu</w:t>
      </w:r>
      <w:r w:rsidR="00DC2672" w:rsidRPr="005824CB">
        <w:t xml:space="preserve"> </w:t>
      </w:r>
      <w:r w:rsidR="00C756C2">
        <w:t>veći</w:t>
      </w:r>
      <w:r w:rsidR="00F003CF" w:rsidRPr="005824CB">
        <w:t xml:space="preserve"> za </w:t>
      </w:r>
      <w:r w:rsidR="00632221">
        <w:t>790.830</w:t>
      </w:r>
      <w:r w:rsidR="00F003CF" w:rsidRPr="005824CB">
        <w:t xml:space="preserve"> KM</w:t>
      </w:r>
      <w:r w:rsidR="00252459">
        <w:t>, i iznosi 44.506.960 KM</w:t>
      </w:r>
      <w:r w:rsidR="00F003CF" w:rsidRPr="005824CB">
        <w:t>. Plan rashoda, izdataka i financiranja za fiskalnu 20</w:t>
      </w:r>
      <w:r w:rsidR="00C756C2">
        <w:t>2</w:t>
      </w:r>
      <w:r w:rsidR="00632221">
        <w:t>1</w:t>
      </w:r>
      <w:r w:rsidR="00F003CF" w:rsidRPr="005824CB">
        <w:t xml:space="preserve">. godinu </w:t>
      </w:r>
      <w:r w:rsidR="00C756C2">
        <w:t>veći</w:t>
      </w:r>
      <w:r w:rsidR="00F003CF" w:rsidRPr="005824CB">
        <w:t xml:space="preserve"> je od istog za 20</w:t>
      </w:r>
      <w:r w:rsidR="00632221">
        <w:t>20</w:t>
      </w:r>
      <w:r w:rsidR="00F003CF" w:rsidRPr="005824CB">
        <w:t xml:space="preserve">. godinu za </w:t>
      </w:r>
      <w:r w:rsidR="00632221">
        <w:t>1,80</w:t>
      </w:r>
      <w:r w:rsidR="00F003CF" w:rsidRPr="005824CB">
        <w:t xml:space="preserve">%, odnosno u apsolutnom iznosu </w:t>
      </w:r>
      <w:r w:rsidR="00C756C2">
        <w:t>veći</w:t>
      </w:r>
      <w:r w:rsidR="00DC2672" w:rsidRPr="005824CB">
        <w:t xml:space="preserve"> </w:t>
      </w:r>
      <w:r w:rsidR="00F003CF" w:rsidRPr="005824CB">
        <w:t xml:space="preserve">za </w:t>
      </w:r>
      <w:r w:rsidR="00632221">
        <w:t>788.040</w:t>
      </w:r>
      <w:r w:rsidR="00F003CF" w:rsidRPr="005824CB">
        <w:t xml:space="preserve"> KM</w:t>
      </w:r>
      <w:r w:rsidR="00252459">
        <w:t>, te iznosi 44.502.900 KM.</w:t>
      </w:r>
      <w:r w:rsidR="00F003CF" w:rsidRPr="005824CB">
        <w:t xml:space="preserve"> Planirano pokriće deficita iz prethodnih godina iznosi </w:t>
      </w:r>
      <w:r w:rsidR="00632221">
        <w:t>4.060</w:t>
      </w:r>
      <w:r w:rsidR="00F003CF" w:rsidRPr="005824CB">
        <w:t xml:space="preserve"> KM.</w:t>
      </w:r>
    </w:p>
    <w:p w:rsidR="00E46CD1" w:rsidRPr="005824CB" w:rsidRDefault="00F003CF" w:rsidP="00581DC1">
      <w:pPr>
        <w:pStyle w:val="Default"/>
        <w:spacing w:after="120"/>
        <w:ind w:firstLine="720"/>
        <w:jc w:val="both"/>
      </w:pPr>
      <w:r w:rsidRPr="005824CB">
        <w:t>U pr</w:t>
      </w:r>
      <w:r w:rsidR="00C756C2">
        <w:t>oces planiranja Proračuna za 202</w:t>
      </w:r>
      <w:r w:rsidR="00632221">
        <w:t>1</w:t>
      </w:r>
      <w:r w:rsidRPr="005824CB">
        <w:t>. godinu</w:t>
      </w:r>
      <w:r w:rsidR="00E46CD1" w:rsidRPr="005824CB">
        <w:t xml:space="preserve"> uzete su </w:t>
      </w:r>
      <w:r w:rsidR="005824CB" w:rsidRPr="005824CB">
        <w:t xml:space="preserve">u </w:t>
      </w:r>
      <w:r w:rsidR="00E46CD1" w:rsidRPr="005824CB">
        <w:t>obzir sljedeće pretpostavke:</w:t>
      </w:r>
    </w:p>
    <w:p w:rsidR="00F003CF" w:rsidRPr="005824CB" w:rsidRDefault="00DC2672" w:rsidP="00D63FFB">
      <w:pPr>
        <w:pStyle w:val="Default"/>
        <w:numPr>
          <w:ilvl w:val="0"/>
          <w:numId w:val="5"/>
        </w:numPr>
        <w:jc w:val="both"/>
      </w:pPr>
      <w:r w:rsidRPr="005824CB">
        <w:t xml:space="preserve">revidirane </w:t>
      </w:r>
      <w:r w:rsidR="00F003CF" w:rsidRPr="005824CB">
        <w:t>projekcij</w:t>
      </w:r>
      <w:r w:rsidR="00E46CD1" w:rsidRPr="005824CB">
        <w:t>e</w:t>
      </w:r>
      <w:r w:rsidR="00F003CF" w:rsidRPr="005824CB">
        <w:t xml:space="preserve"> Direkcije za ekonomska planiranja i Odjeljenja za makroekonomske analize</w:t>
      </w:r>
      <w:r w:rsidRPr="005824CB">
        <w:t xml:space="preserve"> iz listopada 20</w:t>
      </w:r>
      <w:r w:rsidR="00632221">
        <w:t>20</w:t>
      </w:r>
      <w:r w:rsidRPr="005824CB">
        <w:t>. godine</w:t>
      </w:r>
      <w:r w:rsidR="00F003CF" w:rsidRPr="005824CB">
        <w:t xml:space="preserve">, </w:t>
      </w:r>
      <w:r w:rsidR="00E46CD1" w:rsidRPr="005824CB">
        <w:t>ukazuju na</w:t>
      </w:r>
      <w:r w:rsidR="00F003CF" w:rsidRPr="005824CB">
        <w:t xml:space="preserve"> </w:t>
      </w:r>
      <w:r w:rsidR="00632221">
        <w:t>pad</w:t>
      </w:r>
      <w:r w:rsidR="00F003CF" w:rsidRPr="005824CB">
        <w:t xml:space="preserve"> ključne skupine poreznih prihoda (prihoda od poreza na dobit, poreza na dohodak i PDV-a)</w:t>
      </w:r>
      <w:r w:rsidR="00E46CD1" w:rsidRPr="005824CB">
        <w:t xml:space="preserve"> u 20</w:t>
      </w:r>
      <w:r w:rsidR="00C756C2">
        <w:t>2</w:t>
      </w:r>
      <w:r w:rsidR="00632221">
        <w:t>1</w:t>
      </w:r>
      <w:r w:rsidR="00E46CD1" w:rsidRPr="005824CB">
        <w:t>. godini</w:t>
      </w:r>
      <w:r w:rsidRPr="005824CB">
        <w:t xml:space="preserve"> u odnosu na </w:t>
      </w:r>
      <w:r w:rsidRPr="00CA1408">
        <w:t>20</w:t>
      </w:r>
      <w:r w:rsidR="00632221">
        <w:t>20</w:t>
      </w:r>
      <w:r w:rsidRPr="00CA1408">
        <w:t>. godinu</w:t>
      </w:r>
      <w:r w:rsidR="00732B4B" w:rsidRPr="00CA1408">
        <w:t xml:space="preserve"> – očekuje se da će izvršenje </w:t>
      </w:r>
      <w:r w:rsidR="00CA1408">
        <w:t xml:space="preserve">ukupnih </w:t>
      </w:r>
      <w:r w:rsidR="00732B4B" w:rsidRPr="00CA1408">
        <w:t>poreznih prihoda u 20</w:t>
      </w:r>
      <w:r w:rsidR="00C756C2" w:rsidRPr="00CA1408">
        <w:t>2</w:t>
      </w:r>
      <w:r w:rsidR="00252459">
        <w:t>1</w:t>
      </w:r>
      <w:r w:rsidR="00732B4B" w:rsidRPr="00CA1408">
        <w:t xml:space="preserve">. godini biti </w:t>
      </w:r>
      <w:r w:rsidR="00252459">
        <w:t>manje</w:t>
      </w:r>
      <w:r w:rsidR="00732B4B" w:rsidRPr="00CA1408">
        <w:t xml:space="preserve"> od</w:t>
      </w:r>
      <w:r w:rsidR="00732B4B" w:rsidRPr="005824CB">
        <w:t xml:space="preserve"> poreznih prihoda planiranih </w:t>
      </w:r>
      <w:r w:rsidR="00252459">
        <w:t xml:space="preserve">Proračunom Županije Posavske za </w:t>
      </w:r>
      <w:r w:rsidR="00732B4B" w:rsidRPr="005824CB">
        <w:t>20</w:t>
      </w:r>
      <w:r w:rsidR="00252459">
        <w:t>20</w:t>
      </w:r>
      <w:r w:rsidR="00732B4B" w:rsidRPr="005824CB">
        <w:t xml:space="preserve">. godinu za </w:t>
      </w:r>
      <w:r w:rsidR="00252459">
        <w:t>3,05</w:t>
      </w:r>
      <w:r w:rsidR="00732B4B" w:rsidRPr="005824CB">
        <w:t>%,</w:t>
      </w:r>
      <w:r w:rsidR="00252459">
        <w:t xml:space="preserve"> odnosno u apsolutnom iznosu manji za 986.730 KM;</w:t>
      </w:r>
    </w:p>
    <w:p w:rsidR="00E46CD1" w:rsidRPr="005824CB" w:rsidRDefault="00E46CD1" w:rsidP="00D63FFB">
      <w:pPr>
        <w:pStyle w:val="Default"/>
        <w:numPr>
          <w:ilvl w:val="0"/>
          <w:numId w:val="5"/>
        </w:numPr>
        <w:jc w:val="both"/>
      </w:pPr>
      <w:r w:rsidRPr="005824CB">
        <w:t xml:space="preserve">ostvarenje neporeznih prihoda će biti </w:t>
      </w:r>
      <w:r w:rsidR="00252459">
        <w:t>veće</w:t>
      </w:r>
      <w:r w:rsidRPr="005824CB">
        <w:t xml:space="preserve"> nego u 20</w:t>
      </w:r>
      <w:r w:rsidR="00252459">
        <w:t>20</w:t>
      </w:r>
      <w:r w:rsidRPr="005824CB">
        <w:t>. godini, obzirom na njihovu povezanost s namjenskom potrošnjom i analizom njihovo</w:t>
      </w:r>
      <w:r w:rsidR="00732B4B" w:rsidRPr="005824CB">
        <w:t>g kretanja u proteklih 5 godina – očekuje se da će iz</w:t>
      </w:r>
      <w:r w:rsidR="00CA1408">
        <w:t>vršenje neporeznih prihoda u 202</w:t>
      </w:r>
      <w:r w:rsidR="00252459">
        <w:t>1</w:t>
      </w:r>
      <w:r w:rsidR="00732B4B" w:rsidRPr="005824CB">
        <w:t xml:space="preserve">. godini biti </w:t>
      </w:r>
      <w:r w:rsidR="00CA1408">
        <w:t>veće</w:t>
      </w:r>
      <w:r w:rsidR="00732B4B" w:rsidRPr="005824CB">
        <w:t xml:space="preserve"> od neporeznih prihoda planiranih </w:t>
      </w:r>
      <w:r w:rsidR="00252459">
        <w:t>Proračunom Županije Posavske za 2020</w:t>
      </w:r>
      <w:r w:rsidR="00732B4B" w:rsidRPr="005824CB">
        <w:t xml:space="preserve">. godinu za </w:t>
      </w:r>
      <w:r w:rsidR="00252459">
        <w:t>7,99</w:t>
      </w:r>
      <w:r w:rsidR="00732B4B" w:rsidRPr="005824CB">
        <w:t>%,</w:t>
      </w:r>
      <w:r w:rsidR="00252459">
        <w:t xml:space="preserve"> odnosno za 218.320 KM;</w:t>
      </w:r>
    </w:p>
    <w:p w:rsidR="00E46CD1" w:rsidRPr="005824CB" w:rsidRDefault="00E46CD1" w:rsidP="00D63FFB">
      <w:pPr>
        <w:pStyle w:val="Default"/>
        <w:numPr>
          <w:ilvl w:val="0"/>
          <w:numId w:val="5"/>
        </w:numPr>
        <w:jc w:val="both"/>
      </w:pPr>
      <w:r w:rsidRPr="005824CB">
        <w:t>tekuće i kapitalne potpore će i dalje izravno ovisiti o angažmanu resornih ministarstava i/ili Vlade Županije Posavske u izradi adekvatnih projektnih rješenja i njihovom apliciranju kod viših razina vlasti, inozemnih vl</w:t>
      </w:r>
      <w:r w:rsidR="00732B4B" w:rsidRPr="005824CB">
        <w:t>ada i međunarodnih organizacija</w:t>
      </w:r>
      <w:r w:rsidR="005655B8">
        <w:t xml:space="preserve">, te u uvjetima </w:t>
      </w:r>
      <w:proofErr w:type="spellStart"/>
      <w:r w:rsidR="005655B8">
        <w:t>pandemije</w:t>
      </w:r>
      <w:proofErr w:type="spellEnd"/>
      <w:r w:rsidR="005655B8">
        <w:t xml:space="preserve"> o vanjskoj pomoći za saniranje šteta u gospodarstvu i zdravstvu </w:t>
      </w:r>
      <w:r w:rsidR="00732B4B" w:rsidRPr="005824CB">
        <w:t>– u odnosu na Proračun</w:t>
      </w:r>
      <w:r w:rsidR="00252459">
        <w:t xml:space="preserve"> Županije Posavske</w:t>
      </w:r>
      <w:r w:rsidR="00732B4B" w:rsidRPr="005824CB">
        <w:t xml:space="preserve"> za 20</w:t>
      </w:r>
      <w:r w:rsidR="00252459">
        <w:t>20</w:t>
      </w:r>
      <w:r w:rsidR="00732B4B" w:rsidRPr="005824CB">
        <w:t>. godinu plan za 20</w:t>
      </w:r>
      <w:r w:rsidR="00CA1408">
        <w:t>2</w:t>
      </w:r>
      <w:r w:rsidR="00252459">
        <w:t>1</w:t>
      </w:r>
      <w:r w:rsidR="00732B4B" w:rsidRPr="005824CB">
        <w:t xml:space="preserve">. godinu je </w:t>
      </w:r>
      <w:r w:rsidR="00CA1408">
        <w:t>veći</w:t>
      </w:r>
      <w:r w:rsidR="00732B4B" w:rsidRPr="005824CB">
        <w:t xml:space="preserve"> za </w:t>
      </w:r>
      <w:r w:rsidR="00252459">
        <w:t>18,22%, odnosno veći za 1.570.800 KM.</w:t>
      </w:r>
    </w:p>
    <w:p w:rsidR="00E46CD1" w:rsidRPr="005824CB" w:rsidRDefault="00E46CD1" w:rsidP="00E46CD1">
      <w:pPr>
        <w:pStyle w:val="Default"/>
        <w:ind w:left="720"/>
        <w:jc w:val="both"/>
      </w:pPr>
    </w:p>
    <w:p w:rsidR="00E46CD1" w:rsidRPr="005824CB" w:rsidRDefault="00E46CD1" w:rsidP="00581DC1">
      <w:pPr>
        <w:pStyle w:val="Default"/>
        <w:spacing w:after="120"/>
        <w:ind w:firstLine="720"/>
        <w:jc w:val="both"/>
      </w:pPr>
      <w:r w:rsidRPr="005824CB">
        <w:t xml:space="preserve">Sa svim navedenim u vidu, sačinjen je Proračun </w:t>
      </w:r>
      <w:r w:rsidR="00732B4B" w:rsidRPr="005824CB">
        <w:t>za 20</w:t>
      </w:r>
      <w:r w:rsidR="00CA1408">
        <w:t>2</w:t>
      </w:r>
      <w:r w:rsidR="00252459">
        <w:t>1</w:t>
      </w:r>
      <w:r w:rsidR="00732B4B" w:rsidRPr="005824CB">
        <w:t xml:space="preserve">. godinu </w:t>
      </w:r>
      <w:r w:rsidRPr="005824CB">
        <w:t>sa sljedećim ključnim značajkama:</w:t>
      </w:r>
    </w:p>
    <w:p w:rsidR="00CA1958" w:rsidRPr="005824CB" w:rsidRDefault="00E46CD1" w:rsidP="00D63FFB">
      <w:pPr>
        <w:numPr>
          <w:ilvl w:val="0"/>
          <w:numId w:val="5"/>
        </w:numPr>
        <w:jc w:val="both"/>
      </w:pPr>
      <w:proofErr w:type="spellStart"/>
      <w:r w:rsidRPr="005824CB">
        <w:t>B</w:t>
      </w:r>
      <w:r w:rsidR="00CA1958" w:rsidRPr="005824CB">
        <w:t>ruto</w:t>
      </w:r>
      <w:proofErr w:type="spellEnd"/>
      <w:r w:rsidR="00CA1958" w:rsidRPr="005824CB">
        <w:t xml:space="preserve"> </w:t>
      </w:r>
      <w:proofErr w:type="spellStart"/>
      <w:r w:rsidR="00CA1958" w:rsidRPr="005824CB">
        <w:t>plać</w:t>
      </w:r>
      <w:r w:rsidRPr="005824CB">
        <w:t>e</w:t>
      </w:r>
      <w:proofErr w:type="spellEnd"/>
      <w:r w:rsidR="00CA1958" w:rsidRPr="005824CB">
        <w:t xml:space="preserve"> </w:t>
      </w:r>
      <w:proofErr w:type="spellStart"/>
      <w:r w:rsidR="00CA1958" w:rsidRPr="005824CB">
        <w:t>i</w:t>
      </w:r>
      <w:proofErr w:type="spellEnd"/>
      <w:r w:rsidR="00CA1958" w:rsidRPr="005824CB">
        <w:t xml:space="preserve"> </w:t>
      </w:r>
      <w:proofErr w:type="spellStart"/>
      <w:r w:rsidR="00CA1958" w:rsidRPr="005824CB">
        <w:t>naknad</w:t>
      </w:r>
      <w:r w:rsidRPr="005824CB">
        <w:t>e</w:t>
      </w:r>
      <w:proofErr w:type="spellEnd"/>
      <w:r w:rsidR="00CA1958" w:rsidRPr="005824CB">
        <w:t xml:space="preserve"> </w:t>
      </w:r>
      <w:proofErr w:type="spellStart"/>
      <w:r w:rsidR="00CA1958" w:rsidRPr="005824CB">
        <w:t>plaća</w:t>
      </w:r>
      <w:proofErr w:type="spellEnd"/>
      <w:r w:rsidR="00CA1958" w:rsidRPr="005824CB">
        <w:t xml:space="preserve">, </w:t>
      </w:r>
      <w:proofErr w:type="spellStart"/>
      <w:r w:rsidR="00CA1958" w:rsidRPr="005824CB">
        <w:t>te</w:t>
      </w:r>
      <w:proofErr w:type="spellEnd"/>
      <w:r w:rsidR="00CA1958" w:rsidRPr="005824CB">
        <w:t xml:space="preserve"> </w:t>
      </w:r>
      <w:proofErr w:type="spellStart"/>
      <w:r w:rsidR="00CA1958" w:rsidRPr="005824CB">
        <w:t>naknad</w:t>
      </w:r>
      <w:r w:rsidR="00CA1408">
        <w:t>e</w:t>
      </w:r>
      <w:proofErr w:type="spellEnd"/>
      <w:r w:rsidR="00CA1958" w:rsidRPr="005824CB">
        <w:t xml:space="preserve"> </w:t>
      </w:r>
      <w:proofErr w:type="spellStart"/>
      <w:r w:rsidR="00CA1958" w:rsidRPr="005824CB">
        <w:t>troškova</w:t>
      </w:r>
      <w:proofErr w:type="spellEnd"/>
      <w:r w:rsidR="00CA1958" w:rsidRPr="005824CB">
        <w:t xml:space="preserve"> </w:t>
      </w:r>
      <w:proofErr w:type="spellStart"/>
      <w:r w:rsidR="00CA1958" w:rsidRPr="005824CB">
        <w:t>zaposlenih</w:t>
      </w:r>
      <w:proofErr w:type="spellEnd"/>
      <w:r w:rsidR="00CA1958" w:rsidRPr="005824CB">
        <w:t xml:space="preserve"> </w:t>
      </w:r>
      <w:proofErr w:type="spellStart"/>
      <w:r w:rsidR="00252459">
        <w:t>povećavaju</w:t>
      </w:r>
      <w:proofErr w:type="spellEnd"/>
      <w:r w:rsidRPr="005824CB">
        <w:t xml:space="preserve"> se </w:t>
      </w:r>
      <w:proofErr w:type="spellStart"/>
      <w:r w:rsidRPr="005824CB">
        <w:t>za</w:t>
      </w:r>
      <w:proofErr w:type="spellEnd"/>
      <w:r w:rsidR="00CA1958" w:rsidRPr="005824CB">
        <w:t xml:space="preserve"> </w:t>
      </w:r>
      <w:r w:rsidR="00252459">
        <w:t>6,44</w:t>
      </w:r>
      <w:r w:rsidR="00CA1958" w:rsidRPr="005824CB">
        <w:t xml:space="preserve">% u </w:t>
      </w:r>
      <w:proofErr w:type="spellStart"/>
      <w:r w:rsidR="00CA1958" w:rsidRPr="005824CB">
        <w:t>odnosu</w:t>
      </w:r>
      <w:proofErr w:type="spellEnd"/>
      <w:r w:rsidR="00CA1958" w:rsidRPr="005824CB">
        <w:t xml:space="preserve"> </w:t>
      </w:r>
      <w:proofErr w:type="spellStart"/>
      <w:r w:rsidR="00CA1958" w:rsidRPr="005824CB">
        <w:t>na</w:t>
      </w:r>
      <w:proofErr w:type="spellEnd"/>
      <w:r w:rsidR="00CA1958" w:rsidRPr="005824CB">
        <w:t xml:space="preserve"> 20</w:t>
      </w:r>
      <w:r w:rsidR="00252459">
        <w:t>20</w:t>
      </w:r>
      <w:r w:rsidR="001E58B6" w:rsidRPr="005824CB">
        <w:t xml:space="preserve">. </w:t>
      </w:r>
      <w:proofErr w:type="spellStart"/>
      <w:r w:rsidR="001E58B6" w:rsidRPr="005824CB">
        <w:t>godinu</w:t>
      </w:r>
      <w:proofErr w:type="spellEnd"/>
      <w:r w:rsidR="00CA1408">
        <w:t xml:space="preserve">, </w:t>
      </w:r>
      <w:proofErr w:type="spellStart"/>
      <w:r w:rsidR="00CA1408">
        <w:t>dok</w:t>
      </w:r>
      <w:proofErr w:type="spellEnd"/>
      <w:r w:rsidR="00CA1408">
        <w:t xml:space="preserve"> </w:t>
      </w:r>
      <w:proofErr w:type="spellStart"/>
      <w:r w:rsidR="00CA1408">
        <w:t>će</w:t>
      </w:r>
      <w:proofErr w:type="spellEnd"/>
      <w:r w:rsidR="00CA1408">
        <w:t xml:space="preserve"> se </w:t>
      </w:r>
      <w:proofErr w:type="spellStart"/>
      <w:r w:rsidR="00CA1408">
        <w:t>doprinosi</w:t>
      </w:r>
      <w:proofErr w:type="spellEnd"/>
      <w:r w:rsidR="00CA1408">
        <w:t xml:space="preserve"> </w:t>
      </w:r>
      <w:proofErr w:type="spellStart"/>
      <w:r w:rsidR="00CA1408">
        <w:t>poslodavca</w:t>
      </w:r>
      <w:proofErr w:type="spellEnd"/>
      <w:r w:rsidR="00CA1408">
        <w:t xml:space="preserve"> </w:t>
      </w:r>
      <w:proofErr w:type="spellStart"/>
      <w:r w:rsidR="00CA1408">
        <w:t>povećati</w:t>
      </w:r>
      <w:proofErr w:type="spellEnd"/>
      <w:r w:rsidR="00CA1408">
        <w:t xml:space="preserve"> </w:t>
      </w:r>
      <w:proofErr w:type="spellStart"/>
      <w:r w:rsidR="00CA1408">
        <w:t>za</w:t>
      </w:r>
      <w:proofErr w:type="spellEnd"/>
      <w:r w:rsidR="00CA1408">
        <w:t xml:space="preserve"> </w:t>
      </w:r>
      <w:r w:rsidR="00252459">
        <w:t>5,78</w:t>
      </w:r>
      <w:r w:rsidR="00CA1408">
        <w:t xml:space="preserve">% u </w:t>
      </w:r>
      <w:proofErr w:type="spellStart"/>
      <w:r w:rsidR="00CA1408">
        <w:t>odnosu</w:t>
      </w:r>
      <w:proofErr w:type="spellEnd"/>
      <w:r w:rsidR="00CA1408">
        <w:t xml:space="preserve"> </w:t>
      </w:r>
      <w:proofErr w:type="spellStart"/>
      <w:r w:rsidR="00CA1408">
        <w:t>na</w:t>
      </w:r>
      <w:proofErr w:type="spellEnd"/>
      <w:r w:rsidR="00CA1408">
        <w:t xml:space="preserve"> </w:t>
      </w:r>
      <w:proofErr w:type="spellStart"/>
      <w:r w:rsidR="00CA1408">
        <w:t>prethodnu</w:t>
      </w:r>
      <w:proofErr w:type="spellEnd"/>
      <w:r w:rsidR="00CA1408">
        <w:t xml:space="preserve"> </w:t>
      </w:r>
      <w:proofErr w:type="spellStart"/>
      <w:r w:rsidR="00CA1408">
        <w:t>godinu</w:t>
      </w:r>
      <w:proofErr w:type="spellEnd"/>
      <w:r w:rsidR="00EB76E5" w:rsidRPr="005824CB">
        <w:t>.</w:t>
      </w:r>
      <w:r w:rsidR="00B02068" w:rsidRPr="005824CB">
        <w:t xml:space="preserve"> </w:t>
      </w:r>
      <w:proofErr w:type="spellStart"/>
      <w:r w:rsidR="005655B8">
        <w:t>Primjenom</w:t>
      </w:r>
      <w:proofErr w:type="spellEnd"/>
      <w:r w:rsidR="005655B8">
        <w:t xml:space="preserve"> </w:t>
      </w:r>
      <w:proofErr w:type="spellStart"/>
      <w:r w:rsidR="005655B8">
        <w:t>novih</w:t>
      </w:r>
      <w:proofErr w:type="spellEnd"/>
      <w:r w:rsidR="005655B8">
        <w:t xml:space="preserve"> </w:t>
      </w:r>
      <w:proofErr w:type="spellStart"/>
      <w:r w:rsidR="005655B8">
        <w:t>Kolektivnih</w:t>
      </w:r>
      <w:proofErr w:type="spellEnd"/>
      <w:r w:rsidR="005655B8" w:rsidRPr="001D5487">
        <w:t xml:space="preserve"> </w:t>
      </w:r>
      <w:proofErr w:type="spellStart"/>
      <w:r w:rsidR="005655B8" w:rsidRPr="001D5487">
        <w:t>ugovor</w:t>
      </w:r>
      <w:r w:rsidR="005655B8">
        <w:t>a</w:t>
      </w:r>
      <w:proofErr w:type="spellEnd"/>
      <w:r w:rsidR="005655B8" w:rsidRPr="001D5487">
        <w:t xml:space="preserve"> </w:t>
      </w:r>
      <w:proofErr w:type="spellStart"/>
      <w:r w:rsidR="005655B8" w:rsidRPr="00252459">
        <w:rPr>
          <w:bCs/>
        </w:rPr>
        <w:t>za</w:t>
      </w:r>
      <w:proofErr w:type="spellEnd"/>
      <w:r w:rsidR="005655B8" w:rsidRPr="00252459">
        <w:rPr>
          <w:bCs/>
        </w:rPr>
        <w:t xml:space="preserve"> </w:t>
      </w:r>
      <w:proofErr w:type="spellStart"/>
      <w:r w:rsidR="005655B8" w:rsidRPr="00252459">
        <w:rPr>
          <w:bCs/>
        </w:rPr>
        <w:t>djelatnike</w:t>
      </w:r>
      <w:proofErr w:type="spellEnd"/>
      <w:r w:rsidR="005655B8" w:rsidRPr="00252459">
        <w:rPr>
          <w:bCs/>
        </w:rPr>
        <w:t xml:space="preserve"> </w:t>
      </w:r>
      <w:proofErr w:type="spellStart"/>
      <w:r w:rsidR="005655B8" w:rsidRPr="00252459">
        <w:rPr>
          <w:bCs/>
        </w:rPr>
        <w:t>osnovnog</w:t>
      </w:r>
      <w:proofErr w:type="spellEnd"/>
      <w:r w:rsidR="005655B8" w:rsidRPr="00252459">
        <w:rPr>
          <w:bCs/>
        </w:rPr>
        <w:t xml:space="preserve"> </w:t>
      </w:r>
      <w:proofErr w:type="spellStart"/>
      <w:r w:rsidR="005655B8" w:rsidRPr="00252459">
        <w:rPr>
          <w:bCs/>
        </w:rPr>
        <w:t>obrazovanja</w:t>
      </w:r>
      <w:proofErr w:type="spellEnd"/>
      <w:r w:rsidR="005655B8" w:rsidRPr="00252459">
        <w:rPr>
          <w:bCs/>
        </w:rPr>
        <w:t xml:space="preserve"> u ŽP </w:t>
      </w:r>
      <w:proofErr w:type="spellStart"/>
      <w:r w:rsidR="005655B8" w:rsidRPr="00252459">
        <w:rPr>
          <w:bCs/>
        </w:rPr>
        <w:t>i</w:t>
      </w:r>
      <w:proofErr w:type="spellEnd"/>
      <w:r w:rsidR="005655B8" w:rsidRPr="00252459">
        <w:rPr>
          <w:bCs/>
        </w:rPr>
        <w:t xml:space="preserve"> </w:t>
      </w:r>
      <w:proofErr w:type="spellStart"/>
      <w:r w:rsidR="005655B8" w:rsidRPr="00252459">
        <w:rPr>
          <w:bCs/>
        </w:rPr>
        <w:t>djelatnike</w:t>
      </w:r>
      <w:proofErr w:type="spellEnd"/>
      <w:r w:rsidR="005655B8" w:rsidRPr="00252459">
        <w:rPr>
          <w:bCs/>
        </w:rPr>
        <w:t xml:space="preserve"> </w:t>
      </w:r>
      <w:proofErr w:type="spellStart"/>
      <w:r w:rsidR="005655B8" w:rsidRPr="00252459">
        <w:rPr>
          <w:bCs/>
        </w:rPr>
        <w:t>srednjeg</w:t>
      </w:r>
      <w:proofErr w:type="spellEnd"/>
      <w:r w:rsidR="005655B8" w:rsidRPr="00252459">
        <w:rPr>
          <w:bCs/>
        </w:rPr>
        <w:t xml:space="preserve"> </w:t>
      </w:r>
      <w:proofErr w:type="spellStart"/>
      <w:r w:rsidR="005655B8" w:rsidRPr="00252459">
        <w:rPr>
          <w:bCs/>
        </w:rPr>
        <w:t>obrazovanja</w:t>
      </w:r>
      <w:proofErr w:type="spellEnd"/>
      <w:r w:rsidR="005655B8" w:rsidRPr="00252459">
        <w:rPr>
          <w:bCs/>
        </w:rPr>
        <w:t xml:space="preserve"> u ŽP („</w:t>
      </w:r>
      <w:proofErr w:type="spellStart"/>
      <w:r w:rsidR="005655B8" w:rsidRPr="00252459">
        <w:rPr>
          <w:bCs/>
        </w:rPr>
        <w:t>Narodne</w:t>
      </w:r>
      <w:proofErr w:type="spellEnd"/>
      <w:r w:rsidR="005655B8" w:rsidRPr="00252459">
        <w:rPr>
          <w:bCs/>
        </w:rPr>
        <w:t xml:space="preserve"> </w:t>
      </w:r>
      <w:proofErr w:type="spellStart"/>
      <w:r w:rsidR="005655B8" w:rsidRPr="00252459">
        <w:rPr>
          <w:bCs/>
        </w:rPr>
        <w:t>novine</w:t>
      </w:r>
      <w:proofErr w:type="spellEnd"/>
      <w:r w:rsidR="005655B8" w:rsidRPr="00252459">
        <w:rPr>
          <w:bCs/>
        </w:rPr>
        <w:t xml:space="preserve"> Županije Posavske”, </w:t>
      </w:r>
      <w:proofErr w:type="spellStart"/>
      <w:r w:rsidR="005655B8" w:rsidRPr="00252459">
        <w:rPr>
          <w:bCs/>
        </w:rPr>
        <w:t>broj</w:t>
      </w:r>
      <w:proofErr w:type="spellEnd"/>
      <w:r w:rsidR="005655B8" w:rsidRPr="00252459">
        <w:rPr>
          <w:bCs/>
        </w:rPr>
        <w:t xml:space="preserve">: 8/20 </w:t>
      </w:r>
      <w:proofErr w:type="spellStart"/>
      <w:r w:rsidR="005655B8" w:rsidRPr="00252459">
        <w:rPr>
          <w:bCs/>
        </w:rPr>
        <w:t>i</w:t>
      </w:r>
      <w:proofErr w:type="spellEnd"/>
      <w:r w:rsidR="005655B8" w:rsidRPr="00252459">
        <w:rPr>
          <w:bCs/>
        </w:rPr>
        <w:t xml:space="preserve"> 11/20)</w:t>
      </w:r>
      <w:r w:rsidR="005655B8">
        <w:rPr>
          <w:lang w:val="hr-HR"/>
        </w:rPr>
        <w:t xml:space="preserve"> </w:t>
      </w:r>
      <w:proofErr w:type="gramStart"/>
      <w:r w:rsidR="005655B8">
        <w:rPr>
          <w:lang w:val="hr-HR"/>
        </w:rPr>
        <w:t>od</w:t>
      </w:r>
      <w:proofErr w:type="gramEnd"/>
      <w:r w:rsidR="005655B8">
        <w:rPr>
          <w:lang w:val="hr-HR"/>
        </w:rPr>
        <w:t xml:space="preserve"> 01.09.2020. godine primjenjuju se novi povećani koeficijenti za obračun plaća 2 platna razreda (</w:t>
      </w:r>
      <w:proofErr w:type="spellStart"/>
      <w:r w:rsidR="005655B8" w:rsidRPr="00EE30FB">
        <w:t>viš</w:t>
      </w:r>
      <w:r w:rsidR="005655B8">
        <w:t>a</w:t>
      </w:r>
      <w:proofErr w:type="spellEnd"/>
      <w:r w:rsidR="005655B8" w:rsidRPr="00EE30FB">
        <w:t xml:space="preserve"> </w:t>
      </w:r>
      <w:proofErr w:type="spellStart"/>
      <w:r w:rsidR="005655B8" w:rsidRPr="00EE30FB">
        <w:t>stru</w:t>
      </w:r>
      <w:r w:rsidR="005655B8">
        <w:t>č</w:t>
      </w:r>
      <w:r w:rsidR="005655B8" w:rsidRPr="00EE30FB">
        <w:t>nu</w:t>
      </w:r>
      <w:proofErr w:type="spellEnd"/>
      <w:r w:rsidR="005655B8" w:rsidRPr="00EE30FB">
        <w:t xml:space="preserve"> </w:t>
      </w:r>
      <w:proofErr w:type="spellStart"/>
      <w:r w:rsidR="005655B8" w:rsidRPr="00EE30FB">
        <w:t>spremu</w:t>
      </w:r>
      <w:proofErr w:type="spellEnd"/>
      <w:r w:rsidR="005655B8" w:rsidRPr="00EE30FB">
        <w:t xml:space="preserve"> </w:t>
      </w:r>
      <w:proofErr w:type="spellStart"/>
      <w:r w:rsidR="005655B8" w:rsidRPr="00EE30FB">
        <w:t>ili</w:t>
      </w:r>
      <w:proofErr w:type="spellEnd"/>
      <w:r w:rsidR="005655B8" w:rsidRPr="00EE30FB">
        <w:t xml:space="preserve"> I. </w:t>
      </w:r>
      <w:proofErr w:type="spellStart"/>
      <w:proofErr w:type="gramStart"/>
      <w:r w:rsidR="005655B8" w:rsidRPr="00EE30FB">
        <w:t>ciklus</w:t>
      </w:r>
      <w:proofErr w:type="spellEnd"/>
      <w:proofErr w:type="gramEnd"/>
      <w:r w:rsidR="005655B8" w:rsidRPr="00EE30FB">
        <w:t xml:space="preserve"> </w:t>
      </w:r>
      <w:proofErr w:type="spellStart"/>
      <w:r w:rsidR="005655B8" w:rsidRPr="00EE30FB">
        <w:t>visokog</w:t>
      </w:r>
      <w:proofErr w:type="spellEnd"/>
      <w:r w:rsidR="005655B8" w:rsidRPr="00EE30FB">
        <w:t xml:space="preserve"> </w:t>
      </w:r>
      <w:proofErr w:type="spellStart"/>
      <w:r w:rsidR="005655B8" w:rsidRPr="00EE30FB">
        <w:t>obrazovanja</w:t>
      </w:r>
      <w:proofErr w:type="spellEnd"/>
      <w:r w:rsidR="005655B8" w:rsidRPr="00EE30FB">
        <w:t xml:space="preserve"> 180 ECTS</w:t>
      </w:r>
      <w:r w:rsidR="005655B8">
        <w:rPr>
          <w:lang w:val="hr-HR"/>
        </w:rPr>
        <w:t xml:space="preserve"> sa 7,85 na 8,10, i </w:t>
      </w:r>
      <w:r w:rsidR="005655B8" w:rsidRPr="00EE30FB">
        <w:t xml:space="preserve">I. </w:t>
      </w:r>
      <w:proofErr w:type="spellStart"/>
      <w:r w:rsidR="005655B8" w:rsidRPr="00EE30FB">
        <w:t>ciklus</w:t>
      </w:r>
      <w:proofErr w:type="spellEnd"/>
      <w:r w:rsidR="005655B8" w:rsidRPr="00EE30FB">
        <w:t xml:space="preserve"> </w:t>
      </w:r>
      <w:proofErr w:type="spellStart"/>
      <w:r w:rsidR="005655B8" w:rsidRPr="00EE30FB">
        <w:t>visokog</w:t>
      </w:r>
      <w:proofErr w:type="spellEnd"/>
      <w:r w:rsidR="005655B8" w:rsidRPr="00EE30FB">
        <w:t xml:space="preserve"> </w:t>
      </w:r>
      <w:proofErr w:type="spellStart"/>
      <w:r w:rsidR="005655B8" w:rsidRPr="00EE30FB">
        <w:t>obrazovanja</w:t>
      </w:r>
      <w:proofErr w:type="spellEnd"/>
      <w:r w:rsidR="005655B8" w:rsidRPr="00EE30FB">
        <w:t xml:space="preserve"> 240 ECTS </w:t>
      </w:r>
      <w:proofErr w:type="spellStart"/>
      <w:r w:rsidR="005655B8" w:rsidRPr="00EE30FB">
        <w:t>bodova</w:t>
      </w:r>
      <w:proofErr w:type="spellEnd"/>
      <w:r w:rsidR="005655B8" w:rsidRPr="00EE30FB">
        <w:t xml:space="preserve">, </w:t>
      </w:r>
      <w:proofErr w:type="spellStart"/>
      <w:r w:rsidR="005655B8" w:rsidRPr="00EE30FB">
        <w:t>visoku</w:t>
      </w:r>
      <w:proofErr w:type="spellEnd"/>
      <w:r w:rsidR="005655B8" w:rsidRPr="00EE30FB">
        <w:t xml:space="preserve"> </w:t>
      </w:r>
      <w:proofErr w:type="spellStart"/>
      <w:r w:rsidR="005655B8" w:rsidRPr="00EE30FB">
        <w:t>stru</w:t>
      </w:r>
      <w:r w:rsidR="005655B8">
        <w:t>č</w:t>
      </w:r>
      <w:r w:rsidR="005655B8" w:rsidRPr="00EE30FB">
        <w:t>nu</w:t>
      </w:r>
      <w:proofErr w:type="spellEnd"/>
      <w:r w:rsidR="005655B8" w:rsidRPr="00EE30FB">
        <w:t xml:space="preserve"> </w:t>
      </w:r>
      <w:proofErr w:type="spellStart"/>
      <w:r w:rsidR="005655B8" w:rsidRPr="00EE30FB">
        <w:t>spremu</w:t>
      </w:r>
      <w:proofErr w:type="spellEnd"/>
      <w:r w:rsidR="005655B8" w:rsidRPr="00EE30FB">
        <w:t xml:space="preserve"> </w:t>
      </w:r>
      <w:proofErr w:type="spellStart"/>
      <w:r w:rsidR="005655B8" w:rsidRPr="00EE30FB">
        <w:t>ili</w:t>
      </w:r>
      <w:proofErr w:type="spellEnd"/>
      <w:r w:rsidR="005655B8" w:rsidRPr="00EE30FB">
        <w:t xml:space="preserve"> II. </w:t>
      </w:r>
      <w:proofErr w:type="spellStart"/>
      <w:proofErr w:type="gramStart"/>
      <w:r w:rsidR="005655B8" w:rsidRPr="00EE30FB">
        <w:t>ciklus</w:t>
      </w:r>
      <w:proofErr w:type="spellEnd"/>
      <w:proofErr w:type="gramEnd"/>
      <w:r w:rsidR="005655B8" w:rsidRPr="00EE30FB">
        <w:t xml:space="preserve"> </w:t>
      </w:r>
      <w:proofErr w:type="spellStart"/>
      <w:r w:rsidR="005655B8" w:rsidRPr="00EE30FB">
        <w:t>visokog</w:t>
      </w:r>
      <w:proofErr w:type="spellEnd"/>
      <w:r w:rsidR="005655B8" w:rsidRPr="00EE30FB">
        <w:t xml:space="preserve"> </w:t>
      </w:r>
      <w:proofErr w:type="spellStart"/>
      <w:r w:rsidR="005655B8" w:rsidRPr="00EE30FB">
        <w:t>obrazovanja</w:t>
      </w:r>
      <w:proofErr w:type="spellEnd"/>
      <w:r w:rsidR="005655B8" w:rsidRPr="00EE30FB">
        <w:t xml:space="preserve"> 300 ECTS </w:t>
      </w:r>
      <w:proofErr w:type="spellStart"/>
      <w:r w:rsidR="005655B8" w:rsidRPr="00EE30FB">
        <w:t>bodova</w:t>
      </w:r>
      <w:proofErr w:type="spellEnd"/>
      <w:r w:rsidR="005655B8" w:rsidRPr="00EE30FB">
        <w:t xml:space="preserve"> </w:t>
      </w:r>
      <w:proofErr w:type="spellStart"/>
      <w:r w:rsidR="005655B8">
        <w:t>sa</w:t>
      </w:r>
      <w:proofErr w:type="spellEnd"/>
      <w:r w:rsidR="005655B8">
        <w:t xml:space="preserve"> 9,30 </w:t>
      </w:r>
      <w:proofErr w:type="spellStart"/>
      <w:r w:rsidR="005655B8">
        <w:t>na</w:t>
      </w:r>
      <w:proofErr w:type="spellEnd"/>
      <w:r w:rsidR="005655B8">
        <w:t xml:space="preserve"> 9,60). </w:t>
      </w:r>
      <w:proofErr w:type="spellStart"/>
      <w:r w:rsidR="005655B8">
        <w:t>Nadalje</w:t>
      </w:r>
      <w:proofErr w:type="spellEnd"/>
      <w:r w:rsidR="005655B8">
        <w:t xml:space="preserve">, </w:t>
      </w:r>
      <w:proofErr w:type="spellStart"/>
      <w:r w:rsidR="005655B8">
        <w:t>od</w:t>
      </w:r>
      <w:proofErr w:type="spellEnd"/>
      <w:r w:rsidR="005655B8">
        <w:t xml:space="preserve"> 01.10.2020.godine (</w:t>
      </w:r>
      <w:proofErr w:type="spellStart"/>
      <w:r w:rsidR="005655B8">
        <w:t>Zaključak</w:t>
      </w:r>
      <w:proofErr w:type="spellEnd"/>
      <w:r w:rsidR="005655B8">
        <w:t xml:space="preserve"> </w:t>
      </w:r>
      <w:proofErr w:type="spellStart"/>
      <w:r w:rsidR="005655B8">
        <w:t>Vlade</w:t>
      </w:r>
      <w:proofErr w:type="spellEnd"/>
      <w:r w:rsidR="005655B8">
        <w:t xml:space="preserve"> Županije Posavske o </w:t>
      </w:r>
      <w:proofErr w:type="spellStart"/>
      <w:r w:rsidR="005655B8">
        <w:t>izmjeni</w:t>
      </w:r>
      <w:proofErr w:type="spellEnd"/>
      <w:r w:rsidR="005655B8">
        <w:t xml:space="preserve"> </w:t>
      </w:r>
      <w:proofErr w:type="spellStart"/>
      <w:r w:rsidR="005655B8">
        <w:t>Zaključka</w:t>
      </w:r>
      <w:proofErr w:type="spellEnd"/>
      <w:r w:rsidR="005655B8">
        <w:t xml:space="preserve"> o </w:t>
      </w:r>
      <w:proofErr w:type="spellStart"/>
      <w:r w:rsidR="005655B8">
        <w:t>visini</w:t>
      </w:r>
      <w:proofErr w:type="spellEnd"/>
      <w:r w:rsidR="005655B8">
        <w:t xml:space="preserve"> </w:t>
      </w:r>
      <w:proofErr w:type="spellStart"/>
      <w:r w:rsidR="005655B8">
        <w:t>osnovice</w:t>
      </w:r>
      <w:proofErr w:type="spellEnd"/>
      <w:r w:rsidR="005655B8">
        <w:t xml:space="preserve"> </w:t>
      </w:r>
      <w:proofErr w:type="spellStart"/>
      <w:r w:rsidR="005655B8">
        <w:t>za</w:t>
      </w:r>
      <w:proofErr w:type="spellEnd"/>
      <w:r w:rsidR="005655B8">
        <w:t xml:space="preserve"> </w:t>
      </w:r>
      <w:proofErr w:type="spellStart"/>
      <w:r w:rsidR="005655B8">
        <w:t>obračun</w:t>
      </w:r>
      <w:proofErr w:type="spellEnd"/>
      <w:r w:rsidR="005655B8">
        <w:t xml:space="preserve"> </w:t>
      </w:r>
      <w:proofErr w:type="spellStart"/>
      <w:r w:rsidR="005655B8">
        <w:t>plaća</w:t>
      </w:r>
      <w:proofErr w:type="spellEnd"/>
      <w:r w:rsidR="005655B8">
        <w:t xml:space="preserve"> </w:t>
      </w:r>
      <w:proofErr w:type="spellStart"/>
      <w:r w:rsidR="005655B8">
        <w:t>uposlenika</w:t>
      </w:r>
      <w:proofErr w:type="spellEnd"/>
      <w:r w:rsidR="005655B8">
        <w:t xml:space="preserve"> </w:t>
      </w:r>
      <w:proofErr w:type="spellStart"/>
      <w:r w:rsidR="005655B8">
        <w:t>korisnika</w:t>
      </w:r>
      <w:proofErr w:type="spellEnd"/>
      <w:r w:rsidR="005655B8">
        <w:t xml:space="preserve"> </w:t>
      </w:r>
      <w:proofErr w:type="spellStart"/>
      <w:r w:rsidR="005655B8">
        <w:t>Proračuna</w:t>
      </w:r>
      <w:proofErr w:type="spellEnd"/>
      <w:r w:rsidR="005655B8">
        <w:t xml:space="preserve"> Županije Posavske, “</w:t>
      </w:r>
      <w:proofErr w:type="spellStart"/>
      <w:r w:rsidR="005655B8">
        <w:t>Narodne</w:t>
      </w:r>
      <w:proofErr w:type="spellEnd"/>
      <w:r w:rsidR="005655B8">
        <w:t xml:space="preserve"> </w:t>
      </w:r>
      <w:proofErr w:type="spellStart"/>
      <w:r w:rsidR="005655B8">
        <w:t>novine</w:t>
      </w:r>
      <w:proofErr w:type="spellEnd"/>
      <w:r w:rsidR="005655B8">
        <w:t xml:space="preserve"> Županije Posavske”, </w:t>
      </w:r>
      <w:proofErr w:type="spellStart"/>
      <w:r w:rsidR="005655B8">
        <w:t>broj</w:t>
      </w:r>
      <w:proofErr w:type="spellEnd"/>
      <w:r w:rsidR="005655B8">
        <w:t xml:space="preserve">: 13/20) </w:t>
      </w:r>
      <w:proofErr w:type="spellStart"/>
      <w:r w:rsidR="005655B8">
        <w:t>primjenjuje</w:t>
      </w:r>
      <w:proofErr w:type="spellEnd"/>
      <w:r w:rsidR="005655B8">
        <w:t xml:space="preserve"> se nova </w:t>
      </w:r>
      <w:r w:rsidR="005655B8">
        <w:rPr>
          <w:lang w:val="hr-HR"/>
        </w:rPr>
        <w:t>osnovica za obračun plaća zaposlenika u proračunskim korisnicima (osim sudaca, tužitelja i stručnih suradnika u pravosuđu) u iznosu od 115</w:t>
      </w:r>
      <w:proofErr w:type="gramStart"/>
      <w:r w:rsidR="005655B8">
        <w:rPr>
          <w:lang w:val="hr-HR"/>
        </w:rPr>
        <w:t>,00</w:t>
      </w:r>
      <w:proofErr w:type="gramEnd"/>
      <w:r w:rsidR="005655B8">
        <w:rPr>
          <w:lang w:val="hr-HR"/>
        </w:rPr>
        <w:t xml:space="preserve"> KM (povećanje za 5,50%)</w:t>
      </w:r>
      <w:r w:rsidR="005655B8">
        <w:t xml:space="preserve">. </w:t>
      </w:r>
      <w:r w:rsidR="00CA1958" w:rsidRPr="005824CB">
        <w:t xml:space="preserve">Vlada Županije Posavske je </w:t>
      </w:r>
      <w:proofErr w:type="spellStart"/>
      <w:r w:rsidR="00CA1958" w:rsidRPr="005824CB">
        <w:t>i</w:t>
      </w:r>
      <w:proofErr w:type="spellEnd"/>
      <w:r w:rsidR="00CA1958" w:rsidRPr="005824CB">
        <w:t xml:space="preserve"> </w:t>
      </w:r>
      <w:proofErr w:type="spellStart"/>
      <w:r w:rsidR="00CA1958" w:rsidRPr="005824CB">
        <w:t>dalje</w:t>
      </w:r>
      <w:proofErr w:type="spellEnd"/>
      <w:r w:rsidR="00CA1958" w:rsidRPr="005824CB">
        <w:t xml:space="preserve"> </w:t>
      </w:r>
      <w:proofErr w:type="spellStart"/>
      <w:r w:rsidR="00CA1958" w:rsidRPr="005824CB">
        <w:t>op</w:t>
      </w:r>
      <w:r w:rsidR="00B02068" w:rsidRPr="005824CB">
        <w:t>redijeljena</w:t>
      </w:r>
      <w:proofErr w:type="spellEnd"/>
      <w:r w:rsidR="00CA1958" w:rsidRPr="005824CB">
        <w:t xml:space="preserve"> </w:t>
      </w:r>
      <w:proofErr w:type="spellStart"/>
      <w:r w:rsidR="00CA1958" w:rsidRPr="005824CB">
        <w:t>pružanju</w:t>
      </w:r>
      <w:proofErr w:type="spellEnd"/>
      <w:r w:rsidR="00CA1958" w:rsidRPr="005824CB">
        <w:t xml:space="preserve"> </w:t>
      </w:r>
      <w:proofErr w:type="spellStart"/>
      <w:r w:rsidR="00CA1958" w:rsidRPr="005824CB">
        <w:t>prilika</w:t>
      </w:r>
      <w:proofErr w:type="spellEnd"/>
      <w:r w:rsidR="00CA1958" w:rsidRPr="005824CB">
        <w:t xml:space="preserve"> </w:t>
      </w:r>
      <w:proofErr w:type="spellStart"/>
      <w:r w:rsidR="00CA1958" w:rsidRPr="005824CB">
        <w:t>mladim</w:t>
      </w:r>
      <w:proofErr w:type="spellEnd"/>
      <w:r w:rsidR="00CA1958" w:rsidRPr="005824CB">
        <w:t xml:space="preserve"> </w:t>
      </w:r>
      <w:proofErr w:type="spellStart"/>
      <w:r w:rsidR="00CA1958" w:rsidRPr="005824CB">
        <w:t>obrazovanim</w:t>
      </w:r>
      <w:proofErr w:type="spellEnd"/>
      <w:r w:rsidR="00CA1958" w:rsidRPr="005824CB">
        <w:t xml:space="preserve"> </w:t>
      </w:r>
      <w:proofErr w:type="spellStart"/>
      <w:r w:rsidR="00CA1958" w:rsidRPr="005824CB">
        <w:t>osobama</w:t>
      </w:r>
      <w:proofErr w:type="spellEnd"/>
      <w:r w:rsidR="00CA1958" w:rsidRPr="005824CB">
        <w:t xml:space="preserve"> </w:t>
      </w:r>
      <w:proofErr w:type="spellStart"/>
      <w:r w:rsidR="00CA1958" w:rsidRPr="005824CB">
        <w:t>za</w:t>
      </w:r>
      <w:proofErr w:type="spellEnd"/>
      <w:r w:rsidR="00CA1958" w:rsidRPr="005824CB">
        <w:t xml:space="preserve"> </w:t>
      </w:r>
      <w:proofErr w:type="spellStart"/>
      <w:r w:rsidR="00CA1958" w:rsidRPr="005824CB">
        <w:t>stjecanje</w:t>
      </w:r>
      <w:proofErr w:type="spellEnd"/>
      <w:r w:rsidR="00CA1958" w:rsidRPr="005824CB">
        <w:t xml:space="preserve"> </w:t>
      </w:r>
      <w:proofErr w:type="spellStart"/>
      <w:r w:rsidR="00CA1958" w:rsidRPr="005824CB">
        <w:t>uvjeta</w:t>
      </w:r>
      <w:proofErr w:type="spellEnd"/>
      <w:r w:rsidR="00CA1958" w:rsidRPr="005824CB">
        <w:t xml:space="preserve"> </w:t>
      </w:r>
      <w:proofErr w:type="spellStart"/>
      <w:r w:rsidR="00CA1958" w:rsidRPr="005824CB">
        <w:t>za</w:t>
      </w:r>
      <w:proofErr w:type="spellEnd"/>
      <w:r w:rsidR="00CA1958" w:rsidRPr="005824CB">
        <w:t xml:space="preserve"> </w:t>
      </w:r>
      <w:proofErr w:type="spellStart"/>
      <w:r w:rsidR="00CA1958" w:rsidRPr="005824CB">
        <w:t>polaganje</w:t>
      </w:r>
      <w:proofErr w:type="spellEnd"/>
      <w:r w:rsidR="00CA1958" w:rsidRPr="005824CB">
        <w:t xml:space="preserve"> </w:t>
      </w:r>
      <w:proofErr w:type="spellStart"/>
      <w:r w:rsidR="00CA1958" w:rsidRPr="005824CB">
        <w:t>ispita</w:t>
      </w:r>
      <w:proofErr w:type="spellEnd"/>
      <w:r w:rsidR="00CA1958" w:rsidRPr="005824CB">
        <w:t xml:space="preserve"> </w:t>
      </w:r>
      <w:proofErr w:type="spellStart"/>
      <w:r w:rsidR="00CA1958" w:rsidRPr="005824CB">
        <w:t>op</w:t>
      </w:r>
      <w:r w:rsidR="00B02068" w:rsidRPr="005824CB">
        <w:t>ćeg</w:t>
      </w:r>
      <w:proofErr w:type="spellEnd"/>
      <w:r w:rsidR="00B02068" w:rsidRPr="005824CB">
        <w:t xml:space="preserve"> </w:t>
      </w:r>
      <w:proofErr w:type="spellStart"/>
      <w:r w:rsidR="00B02068" w:rsidRPr="005824CB">
        <w:t>znanja</w:t>
      </w:r>
      <w:proofErr w:type="spellEnd"/>
      <w:r w:rsidR="00B02068" w:rsidRPr="005824CB">
        <w:t xml:space="preserve"> </w:t>
      </w:r>
      <w:proofErr w:type="spellStart"/>
      <w:r w:rsidR="00B02068" w:rsidRPr="005824CB">
        <w:t>kroz</w:t>
      </w:r>
      <w:proofErr w:type="spellEnd"/>
      <w:r w:rsidR="00B02068" w:rsidRPr="005824CB">
        <w:t xml:space="preserve"> </w:t>
      </w:r>
      <w:proofErr w:type="spellStart"/>
      <w:r w:rsidR="00B02068" w:rsidRPr="005824CB">
        <w:t>volonterski</w:t>
      </w:r>
      <w:proofErr w:type="spellEnd"/>
      <w:r w:rsidR="00B02068" w:rsidRPr="005824CB">
        <w:t xml:space="preserve"> </w:t>
      </w:r>
      <w:proofErr w:type="spellStart"/>
      <w:r w:rsidR="00B02068" w:rsidRPr="005824CB">
        <w:t>rad</w:t>
      </w:r>
      <w:proofErr w:type="spellEnd"/>
      <w:r w:rsidR="00B02068" w:rsidRPr="005824CB">
        <w:t xml:space="preserve">, pa se </w:t>
      </w:r>
      <w:proofErr w:type="spellStart"/>
      <w:r w:rsidR="00B02068" w:rsidRPr="005824CB">
        <w:t>i</w:t>
      </w:r>
      <w:proofErr w:type="spellEnd"/>
      <w:r w:rsidR="00B02068" w:rsidRPr="005824CB">
        <w:t xml:space="preserve"> </w:t>
      </w:r>
      <w:r w:rsidR="00B02068" w:rsidRPr="005824CB">
        <w:lastRenderedPageBreak/>
        <w:t>u 20</w:t>
      </w:r>
      <w:r w:rsidR="00CA1408">
        <w:t>2</w:t>
      </w:r>
      <w:r w:rsidR="00252459">
        <w:t>1</w:t>
      </w:r>
      <w:r w:rsidR="00B02068" w:rsidRPr="005824CB">
        <w:t xml:space="preserve">. </w:t>
      </w:r>
      <w:proofErr w:type="spellStart"/>
      <w:r w:rsidR="00B02068" w:rsidRPr="005824CB">
        <w:t>godini</w:t>
      </w:r>
      <w:proofErr w:type="spellEnd"/>
      <w:r w:rsidR="00CA1408">
        <w:t xml:space="preserve"> </w:t>
      </w:r>
      <w:proofErr w:type="spellStart"/>
      <w:r w:rsidR="00B02068" w:rsidRPr="005824CB">
        <w:t>planira</w:t>
      </w:r>
      <w:proofErr w:type="spellEnd"/>
      <w:r w:rsidR="00B02068" w:rsidRPr="005824CB">
        <w:t xml:space="preserve"> </w:t>
      </w:r>
      <w:proofErr w:type="spellStart"/>
      <w:r w:rsidR="00B02068" w:rsidRPr="005824CB">
        <w:t>angažman</w:t>
      </w:r>
      <w:proofErr w:type="spellEnd"/>
      <w:r w:rsidR="00B02068" w:rsidRPr="005824CB">
        <w:t xml:space="preserve"> </w:t>
      </w:r>
      <w:r w:rsidR="00252459">
        <w:t>20</w:t>
      </w:r>
      <w:r w:rsidR="00B02068" w:rsidRPr="005824CB">
        <w:t xml:space="preserve"> </w:t>
      </w:r>
      <w:proofErr w:type="spellStart"/>
      <w:r w:rsidR="00B02068" w:rsidRPr="005824CB">
        <w:t>novih</w:t>
      </w:r>
      <w:proofErr w:type="spellEnd"/>
      <w:r w:rsidR="00B02068" w:rsidRPr="005824CB">
        <w:t xml:space="preserve"> </w:t>
      </w:r>
      <w:proofErr w:type="spellStart"/>
      <w:r w:rsidR="00B02068" w:rsidRPr="005824CB">
        <w:t>volontera</w:t>
      </w:r>
      <w:proofErr w:type="spellEnd"/>
      <w:r w:rsidR="00B02068" w:rsidRPr="005824CB">
        <w:t>.</w:t>
      </w:r>
      <w:r w:rsidR="00CA1408">
        <w:t xml:space="preserve"> </w:t>
      </w:r>
      <w:proofErr w:type="spellStart"/>
      <w:r w:rsidR="005655B8">
        <w:t>Uz</w:t>
      </w:r>
      <w:proofErr w:type="spellEnd"/>
      <w:r w:rsidR="005655B8">
        <w:t xml:space="preserve"> </w:t>
      </w:r>
      <w:proofErr w:type="spellStart"/>
      <w:r w:rsidR="005655B8">
        <w:t>sve</w:t>
      </w:r>
      <w:proofErr w:type="spellEnd"/>
      <w:r w:rsidR="005655B8">
        <w:t xml:space="preserve"> </w:t>
      </w:r>
      <w:proofErr w:type="spellStart"/>
      <w:r w:rsidR="005655B8">
        <w:t>navedeno</w:t>
      </w:r>
      <w:proofErr w:type="spellEnd"/>
      <w:r w:rsidR="005655B8">
        <w:t>, k</w:t>
      </w:r>
      <w:proofErr w:type="spellStart"/>
      <w:r w:rsidR="00252459">
        <w:rPr>
          <w:lang w:val="hr-HR"/>
        </w:rPr>
        <w:t>ao</w:t>
      </w:r>
      <w:proofErr w:type="spellEnd"/>
      <w:r w:rsidR="00252459">
        <w:rPr>
          <w:lang w:val="hr-HR"/>
        </w:rPr>
        <w:t xml:space="preserve"> posljedica organizacije provođenja nastave u osnovnim i srednjim školama, prilagođene uvjetima </w:t>
      </w:r>
      <w:proofErr w:type="spellStart"/>
      <w:r w:rsidR="00252459">
        <w:rPr>
          <w:lang w:val="hr-HR"/>
        </w:rPr>
        <w:t>pandemije</w:t>
      </w:r>
      <w:proofErr w:type="spellEnd"/>
      <w:r w:rsidR="00252459">
        <w:rPr>
          <w:lang w:val="hr-HR"/>
        </w:rPr>
        <w:t xml:space="preserve"> COVID-19 virusa u 2020. godini, a obzirom na </w:t>
      </w:r>
      <w:r w:rsidR="0083585D">
        <w:rPr>
          <w:lang w:val="hr-HR"/>
        </w:rPr>
        <w:t xml:space="preserve">nepredvidivost tijeka </w:t>
      </w:r>
      <w:proofErr w:type="spellStart"/>
      <w:r w:rsidR="0083585D">
        <w:rPr>
          <w:lang w:val="hr-HR"/>
        </w:rPr>
        <w:t>pandemije</w:t>
      </w:r>
      <w:proofErr w:type="spellEnd"/>
      <w:r w:rsidR="0083585D">
        <w:rPr>
          <w:lang w:val="hr-HR"/>
        </w:rPr>
        <w:t xml:space="preserve"> u 2021. godini, </w:t>
      </w:r>
      <w:r w:rsidR="00252459">
        <w:rPr>
          <w:lang w:val="hr-HR"/>
        </w:rPr>
        <w:t>povećane su naknade za produženi rad u školama.</w:t>
      </w:r>
    </w:p>
    <w:p w:rsidR="00CA1958" w:rsidRPr="005824CB" w:rsidRDefault="00CA1958" w:rsidP="00D63FFB">
      <w:pPr>
        <w:pStyle w:val="Default"/>
        <w:numPr>
          <w:ilvl w:val="0"/>
          <w:numId w:val="5"/>
        </w:numPr>
        <w:jc w:val="both"/>
      </w:pPr>
      <w:r w:rsidRPr="005824CB">
        <w:t>Materijalni troškovi</w:t>
      </w:r>
      <w:r w:rsidR="00CA1408">
        <w:t xml:space="preserve"> proračunskih korisnika će u 202</w:t>
      </w:r>
      <w:r w:rsidR="0083585D">
        <w:t>1</w:t>
      </w:r>
      <w:r w:rsidRPr="005824CB">
        <w:t xml:space="preserve">. godini </w:t>
      </w:r>
      <w:r w:rsidR="00732B4B" w:rsidRPr="005824CB">
        <w:t xml:space="preserve">biti </w:t>
      </w:r>
      <w:r w:rsidR="00CA1408">
        <w:t>veći nego u</w:t>
      </w:r>
      <w:r w:rsidR="0083585D">
        <w:t xml:space="preserve"> 2020</w:t>
      </w:r>
      <w:r w:rsidRPr="005824CB">
        <w:t>. godin</w:t>
      </w:r>
      <w:r w:rsidR="00E46CD1" w:rsidRPr="005824CB">
        <w:t xml:space="preserve">i za </w:t>
      </w:r>
      <w:r w:rsidR="00CA1408">
        <w:t>4,</w:t>
      </w:r>
      <w:r w:rsidR="0083585D">
        <w:t>24</w:t>
      </w:r>
      <w:r w:rsidR="00CA1408">
        <w:t>%</w:t>
      </w:r>
      <w:r w:rsidRPr="005824CB">
        <w:t>.</w:t>
      </w:r>
    </w:p>
    <w:p w:rsidR="00CA1958" w:rsidRPr="005824CB" w:rsidRDefault="00E46CD1" w:rsidP="00D63FFB">
      <w:pPr>
        <w:pStyle w:val="Default"/>
        <w:numPr>
          <w:ilvl w:val="0"/>
          <w:numId w:val="5"/>
        </w:numPr>
        <w:jc w:val="both"/>
      </w:pPr>
      <w:r w:rsidRPr="005824CB">
        <w:t xml:space="preserve">Tekući </w:t>
      </w:r>
      <w:proofErr w:type="spellStart"/>
      <w:r w:rsidRPr="005824CB">
        <w:t>grantovi</w:t>
      </w:r>
      <w:proofErr w:type="spellEnd"/>
      <w:r w:rsidRPr="005824CB">
        <w:t xml:space="preserve"> će se u 20</w:t>
      </w:r>
      <w:r w:rsidR="00CA1408">
        <w:t>2</w:t>
      </w:r>
      <w:r w:rsidR="0083585D">
        <w:t>1</w:t>
      </w:r>
      <w:r w:rsidRPr="005824CB">
        <w:t xml:space="preserve">. godini </w:t>
      </w:r>
      <w:r w:rsidR="004B182B">
        <w:t xml:space="preserve">smanjiti </w:t>
      </w:r>
      <w:r w:rsidRPr="005824CB">
        <w:t>u odnosu na 20</w:t>
      </w:r>
      <w:r w:rsidR="0083585D">
        <w:t>20</w:t>
      </w:r>
      <w:r w:rsidRPr="005824CB">
        <w:t>. godinu (</w:t>
      </w:r>
      <w:r w:rsidR="004B182B">
        <w:t>smanjenje</w:t>
      </w:r>
      <w:r w:rsidRPr="005824CB">
        <w:t xml:space="preserve"> za </w:t>
      </w:r>
      <w:r w:rsidR="004B182B">
        <w:t>3,</w:t>
      </w:r>
      <w:r w:rsidR="0083585D">
        <w:t>52</w:t>
      </w:r>
      <w:r w:rsidR="001E58B6" w:rsidRPr="005824CB">
        <w:t>%)</w:t>
      </w:r>
      <w:r w:rsidR="004B182B">
        <w:t xml:space="preserve">, dok će kapitalni </w:t>
      </w:r>
      <w:proofErr w:type="spellStart"/>
      <w:r w:rsidR="004B182B">
        <w:t>grantovi</w:t>
      </w:r>
      <w:proofErr w:type="spellEnd"/>
      <w:r w:rsidR="004B182B">
        <w:t xml:space="preserve"> u 202</w:t>
      </w:r>
      <w:r w:rsidR="0083585D">
        <w:t>1</w:t>
      </w:r>
      <w:r w:rsidR="004B182B">
        <w:t>. godini u odnosu na 20</w:t>
      </w:r>
      <w:r w:rsidR="0083585D">
        <w:t>20</w:t>
      </w:r>
      <w:r w:rsidR="004B182B">
        <w:t>. godinu porasti</w:t>
      </w:r>
      <w:r w:rsidR="0083585D">
        <w:t xml:space="preserve"> za 16,28%</w:t>
      </w:r>
      <w:r w:rsidR="004B182B">
        <w:t xml:space="preserve">. </w:t>
      </w:r>
    </w:p>
    <w:p w:rsidR="00581DC1" w:rsidRPr="005824CB" w:rsidRDefault="00581DC1" w:rsidP="00D63FFB">
      <w:pPr>
        <w:pStyle w:val="Default"/>
        <w:numPr>
          <w:ilvl w:val="0"/>
          <w:numId w:val="5"/>
        </w:numPr>
        <w:jc w:val="both"/>
      </w:pPr>
      <w:r w:rsidRPr="005824CB">
        <w:t xml:space="preserve">Izdaci za kamate i otplate dugova </w:t>
      </w:r>
      <w:r w:rsidR="001E58B6" w:rsidRPr="005824CB">
        <w:t>će</w:t>
      </w:r>
      <w:r w:rsidRPr="005824CB">
        <w:t xml:space="preserve"> u 20</w:t>
      </w:r>
      <w:r w:rsidR="004B182B">
        <w:t>2</w:t>
      </w:r>
      <w:r w:rsidR="0083585D">
        <w:t>1</w:t>
      </w:r>
      <w:r w:rsidRPr="005824CB">
        <w:t xml:space="preserve">. godini </w:t>
      </w:r>
      <w:r w:rsidR="001E58B6" w:rsidRPr="005824CB">
        <w:t xml:space="preserve">biti </w:t>
      </w:r>
      <w:r w:rsidR="004B182B">
        <w:t>manji nego</w:t>
      </w:r>
      <w:r w:rsidR="001E58B6" w:rsidRPr="005824CB">
        <w:t xml:space="preserve"> u</w:t>
      </w:r>
      <w:r w:rsidRPr="005824CB">
        <w:t xml:space="preserve"> 201</w:t>
      </w:r>
      <w:r w:rsidR="004B182B">
        <w:t>9</w:t>
      </w:r>
      <w:r w:rsidRPr="005824CB">
        <w:t>. godin</w:t>
      </w:r>
      <w:r w:rsidR="001E58B6" w:rsidRPr="005824CB">
        <w:t>i</w:t>
      </w:r>
      <w:r w:rsidR="004B182B">
        <w:t xml:space="preserve"> (smanjenje za </w:t>
      </w:r>
      <w:r w:rsidR="0083585D">
        <w:t>9,11</w:t>
      </w:r>
      <w:r w:rsidR="004B182B">
        <w:t xml:space="preserve">% na izdacima za kamate, te </w:t>
      </w:r>
      <w:r w:rsidR="0083585D">
        <w:t>povećanje od 0,44%</w:t>
      </w:r>
      <w:r w:rsidR="004B182B">
        <w:t xml:space="preserve"> na izdacima za otplate dugova)</w:t>
      </w:r>
      <w:r w:rsidR="001E58B6" w:rsidRPr="005824CB">
        <w:t>, sukladno otplatnim planovima</w:t>
      </w:r>
      <w:r w:rsidRPr="005824CB">
        <w:t xml:space="preserve"> </w:t>
      </w:r>
      <w:r w:rsidR="001E58B6" w:rsidRPr="005824CB">
        <w:t xml:space="preserve">postojećih kreditnih zaduženja. U ovom segmentu primjenjuje se oprezniji pristup zbog neizvjesnosti u kretanju tečaja dolara i korejskog </w:t>
      </w:r>
      <w:proofErr w:type="spellStart"/>
      <w:r w:rsidR="001E58B6" w:rsidRPr="005824CB">
        <w:t>wona</w:t>
      </w:r>
      <w:proofErr w:type="spellEnd"/>
      <w:r w:rsidR="001E58B6" w:rsidRPr="005824CB">
        <w:t xml:space="preserve"> tijekom 20</w:t>
      </w:r>
      <w:r w:rsidR="004B182B">
        <w:t>2</w:t>
      </w:r>
      <w:r w:rsidR="0083585D">
        <w:t>1</w:t>
      </w:r>
      <w:r w:rsidR="001E58B6" w:rsidRPr="005824CB">
        <w:t>. godine</w:t>
      </w:r>
      <w:r w:rsidRPr="005824CB">
        <w:rPr>
          <w:szCs w:val="22"/>
        </w:rPr>
        <w:t>.</w:t>
      </w:r>
      <w:r w:rsidR="004B182B">
        <w:rPr>
          <w:szCs w:val="22"/>
        </w:rPr>
        <w:t xml:space="preserve"> </w:t>
      </w:r>
    </w:p>
    <w:p w:rsidR="00B02068" w:rsidRPr="005824CB" w:rsidRDefault="00B02068" w:rsidP="00D63FFB">
      <w:pPr>
        <w:pStyle w:val="Default"/>
        <w:numPr>
          <w:ilvl w:val="0"/>
          <w:numId w:val="5"/>
        </w:numPr>
        <w:jc w:val="both"/>
      </w:pPr>
      <w:r w:rsidRPr="005824CB">
        <w:t>Izdaci za nabavku stalnih sredstava će se u 20</w:t>
      </w:r>
      <w:r w:rsidR="004B182B">
        <w:t>2</w:t>
      </w:r>
      <w:r w:rsidR="0083585D">
        <w:t>1</w:t>
      </w:r>
      <w:r w:rsidRPr="005824CB">
        <w:t xml:space="preserve">. godini </w:t>
      </w:r>
      <w:r w:rsidR="00581DC1" w:rsidRPr="005824CB">
        <w:t xml:space="preserve">u </w:t>
      </w:r>
      <w:r w:rsidRPr="005824CB">
        <w:t>odnosu na 20</w:t>
      </w:r>
      <w:r w:rsidR="0083585D">
        <w:t>20</w:t>
      </w:r>
      <w:r w:rsidR="00581DC1" w:rsidRPr="005824CB">
        <w:t>. godinu</w:t>
      </w:r>
      <w:r w:rsidR="001E58B6" w:rsidRPr="005824CB">
        <w:t xml:space="preserve"> </w:t>
      </w:r>
      <w:r w:rsidR="0083585D">
        <w:t>smanjiti</w:t>
      </w:r>
      <w:r w:rsidR="001E58B6" w:rsidRPr="005824CB">
        <w:t xml:space="preserve"> za </w:t>
      </w:r>
      <w:r w:rsidR="0083585D">
        <w:t>19,17</w:t>
      </w:r>
      <w:r w:rsidR="001E58B6" w:rsidRPr="005824CB">
        <w:t>%</w:t>
      </w:r>
      <w:r w:rsidRPr="005824CB">
        <w:t xml:space="preserve">. </w:t>
      </w:r>
    </w:p>
    <w:p w:rsidR="00082F7E" w:rsidRDefault="00082F7E">
      <w:pPr>
        <w:jc w:val="both"/>
        <w:rPr>
          <w:lang w:val="hr-HR"/>
        </w:rPr>
      </w:pPr>
    </w:p>
    <w:p w:rsidR="00082F7E" w:rsidRPr="005824CB" w:rsidRDefault="00082F7E">
      <w:pPr>
        <w:jc w:val="both"/>
        <w:rPr>
          <w:lang w:val="hr-HR"/>
        </w:rPr>
      </w:pPr>
    </w:p>
    <w:tbl>
      <w:tblPr>
        <w:tblW w:w="0" w:type="auto"/>
        <w:tblLook w:val="0000"/>
      </w:tblPr>
      <w:tblGrid>
        <w:gridCol w:w="828"/>
        <w:gridCol w:w="8771"/>
      </w:tblGrid>
      <w:tr w:rsidR="00CA1958" w:rsidRPr="005824CB">
        <w:tc>
          <w:tcPr>
            <w:tcW w:w="828" w:type="dxa"/>
            <w:shd w:val="clear" w:color="auto" w:fill="404040"/>
          </w:tcPr>
          <w:p w:rsidR="00CA1958" w:rsidRPr="005824CB" w:rsidRDefault="00CA1958">
            <w:pPr>
              <w:pStyle w:val="Naslov"/>
              <w:rPr>
                <w:color w:val="FFFFFF"/>
              </w:rPr>
            </w:pPr>
            <w:r w:rsidRPr="005824CB">
              <w:rPr>
                <w:color w:val="FFFFFF"/>
              </w:rPr>
              <w:t>2.</w:t>
            </w:r>
          </w:p>
        </w:tc>
        <w:tc>
          <w:tcPr>
            <w:tcW w:w="8771" w:type="dxa"/>
          </w:tcPr>
          <w:p w:rsidR="00CA1958" w:rsidRPr="005824CB" w:rsidRDefault="00CA1958" w:rsidP="002044A9">
            <w:pPr>
              <w:pStyle w:val="Naslov"/>
              <w:jc w:val="left"/>
            </w:pPr>
            <w:r w:rsidRPr="005824CB">
              <w:t xml:space="preserve">PRAVNI </w:t>
            </w:r>
            <w:r w:rsidR="002044A9" w:rsidRPr="005824CB">
              <w:t>TEMELJ</w:t>
            </w:r>
          </w:p>
        </w:tc>
      </w:tr>
    </w:tbl>
    <w:p w:rsidR="00CA1958" w:rsidRPr="005824CB" w:rsidRDefault="00CA1958">
      <w:pPr>
        <w:jc w:val="both"/>
        <w:rPr>
          <w:b/>
          <w:bCs/>
          <w:lang w:val="hr-HR"/>
        </w:rPr>
      </w:pPr>
    </w:p>
    <w:p w:rsidR="00CA1958" w:rsidRPr="005824CB" w:rsidRDefault="00CA1958">
      <w:pPr>
        <w:ind w:firstLine="720"/>
        <w:jc w:val="both"/>
        <w:rPr>
          <w:lang w:val="hr-HR"/>
        </w:rPr>
      </w:pPr>
      <w:r w:rsidRPr="005824CB">
        <w:rPr>
          <w:lang w:val="hr-HR"/>
        </w:rPr>
        <w:t xml:space="preserve">Ustavni temelj za donošenje Proračuna Županije </w:t>
      </w:r>
      <w:r w:rsidR="004B182B">
        <w:rPr>
          <w:lang w:val="hr-HR"/>
        </w:rPr>
        <w:t>Posavske za 202</w:t>
      </w:r>
      <w:r w:rsidR="005655B8">
        <w:rPr>
          <w:lang w:val="hr-HR"/>
        </w:rPr>
        <w:t>1</w:t>
      </w:r>
      <w:r w:rsidRPr="005824CB">
        <w:rPr>
          <w:lang w:val="hr-HR"/>
        </w:rPr>
        <w:t xml:space="preserve">. godinu sadržan je u članku 26.(1) točka f. Ustava Županije Posavske (»Narodne novine Županije Posavske«, broj: 1/96, 3/96, 7/99, 3/00, 5/00 i 7/04) gdje je propisano da Skupština Županije Posavske usvaja Proračun. </w:t>
      </w:r>
    </w:p>
    <w:p w:rsidR="00CA1958" w:rsidRPr="005824CB" w:rsidRDefault="00CA1958">
      <w:pPr>
        <w:ind w:firstLine="720"/>
        <w:jc w:val="both"/>
        <w:rPr>
          <w:lang w:val="hr-HR"/>
        </w:rPr>
      </w:pPr>
      <w:r w:rsidRPr="005824CB">
        <w:rPr>
          <w:lang w:val="hr-HR"/>
        </w:rPr>
        <w:t>Zakonski temelj za donošenje Proračuna Županije Posavske za 20</w:t>
      </w:r>
      <w:r w:rsidR="004B182B">
        <w:rPr>
          <w:lang w:val="hr-HR"/>
        </w:rPr>
        <w:t>2</w:t>
      </w:r>
      <w:r w:rsidR="005655B8">
        <w:rPr>
          <w:lang w:val="hr-HR"/>
        </w:rPr>
        <w:t>1</w:t>
      </w:r>
      <w:r w:rsidRPr="005824CB">
        <w:rPr>
          <w:lang w:val="hr-HR"/>
        </w:rPr>
        <w:t>. godinu sadržan je u članku 32.(1) Zakona o proračunima u Federaciji Bosne i Hercegovine (»Službene novine Federacije BiH«, broj: 102/13, 9/14, 13/14, 8/15</w:t>
      </w:r>
      <w:r w:rsidR="00DD74F2" w:rsidRPr="005824CB">
        <w:rPr>
          <w:lang w:val="hr-HR"/>
        </w:rPr>
        <w:t>,</w:t>
      </w:r>
      <w:r w:rsidRPr="005824CB">
        <w:rPr>
          <w:lang w:val="hr-HR"/>
        </w:rPr>
        <w:t xml:space="preserve"> 91/15</w:t>
      </w:r>
      <w:r w:rsidR="002044A9" w:rsidRPr="005824CB">
        <w:rPr>
          <w:lang w:val="hr-HR"/>
        </w:rPr>
        <w:t>,</w:t>
      </w:r>
      <w:r w:rsidR="00DD74F2" w:rsidRPr="005824CB">
        <w:rPr>
          <w:lang w:val="hr-HR"/>
        </w:rPr>
        <w:t xml:space="preserve"> 102/15</w:t>
      </w:r>
      <w:r w:rsidR="001E58B6" w:rsidRPr="005824CB">
        <w:rPr>
          <w:lang w:val="hr-HR"/>
        </w:rPr>
        <w:t xml:space="preserve">, </w:t>
      </w:r>
      <w:r w:rsidR="002044A9" w:rsidRPr="005824CB">
        <w:rPr>
          <w:lang w:val="hr-HR"/>
        </w:rPr>
        <w:t>104/16</w:t>
      </w:r>
      <w:r w:rsidR="004B182B">
        <w:rPr>
          <w:lang w:val="hr-HR"/>
        </w:rPr>
        <w:t>,</w:t>
      </w:r>
      <w:r w:rsidR="001E58B6" w:rsidRPr="005824CB">
        <w:rPr>
          <w:lang w:val="hr-HR"/>
        </w:rPr>
        <w:t xml:space="preserve"> 5/18</w:t>
      </w:r>
      <w:r w:rsidR="005655B8">
        <w:rPr>
          <w:lang w:val="hr-HR"/>
        </w:rPr>
        <w:t>.</w:t>
      </w:r>
      <w:r w:rsidR="004B182B">
        <w:rPr>
          <w:lang w:val="hr-HR"/>
        </w:rPr>
        <w:t xml:space="preserve"> 11/19</w:t>
      </w:r>
      <w:r w:rsidR="005655B8">
        <w:rPr>
          <w:lang w:val="hr-HR"/>
        </w:rPr>
        <w:t xml:space="preserve"> i 99/19</w:t>
      </w:r>
      <w:r w:rsidRPr="005824CB">
        <w:rPr>
          <w:lang w:val="hr-HR"/>
        </w:rPr>
        <w:t>).</w:t>
      </w:r>
    </w:p>
    <w:p w:rsidR="00CA1958" w:rsidRPr="005824CB" w:rsidRDefault="00CA1958">
      <w:pPr>
        <w:ind w:firstLine="720"/>
        <w:jc w:val="both"/>
        <w:rPr>
          <w:lang w:val="hr-HR"/>
        </w:rPr>
      </w:pPr>
      <w:r w:rsidRPr="005824CB">
        <w:rPr>
          <w:lang w:val="hr-HR"/>
        </w:rPr>
        <w:t>Prilikom izrade Proračuna Županije Posavske za 20</w:t>
      </w:r>
      <w:r w:rsidR="004B182B">
        <w:rPr>
          <w:lang w:val="hr-HR"/>
        </w:rPr>
        <w:t>2</w:t>
      </w:r>
      <w:r w:rsidR="005655B8">
        <w:rPr>
          <w:lang w:val="hr-HR"/>
        </w:rPr>
        <w:t>1</w:t>
      </w:r>
      <w:r w:rsidRPr="005824CB">
        <w:rPr>
          <w:lang w:val="hr-HR"/>
        </w:rPr>
        <w:t>. godinu osobito su uzete u obzir odredbe:</w:t>
      </w:r>
    </w:p>
    <w:p w:rsidR="005655B8" w:rsidRPr="00B24E6B" w:rsidRDefault="005655B8" w:rsidP="00D63FFB">
      <w:pPr>
        <w:numPr>
          <w:ilvl w:val="0"/>
          <w:numId w:val="2"/>
        </w:numPr>
        <w:jc w:val="both"/>
        <w:rPr>
          <w:lang w:val="hr-HR"/>
        </w:rPr>
      </w:pPr>
      <w:r w:rsidRPr="00B24E6B">
        <w:rPr>
          <w:lang w:val="hr-HR"/>
        </w:rPr>
        <w:t>Zakona o državnim službenicima i namještenicima u tijelima državne službe u Županiji Posavskoj («Narodne novine Županije Posavske», broj: 9/13, 11/13, 2/14 i 6/17),</w:t>
      </w:r>
    </w:p>
    <w:p w:rsidR="005655B8" w:rsidRPr="00B24E6B" w:rsidRDefault="005655B8" w:rsidP="00D63FFB">
      <w:pPr>
        <w:pStyle w:val="Default"/>
        <w:numPr>
          <w:ilvl w:val="0"/>
          <w:numId w:val="2"/>
        </w:numPr>
        <w:jc w:val="both"/>
        <w:rPr>
          <w:color w:val="auto"/>
        </w:rPr>
      </w:pPr>
      <w:r w:rsidRPr="00B24E6B">
        <w:rPr>
          <w:color w:val="auto"/>
        </w:rPr>
        <w:t>Zakona o novčanim primanjima zastupnika i članova stalnih tijela u Skupštini Županije Posavske (prečišćeni tekst) («Narodne novine Županije Posavske», broj: 1/14 i 8/15),</w:t>
      </w:r>
    </w:p>
    <w:p w:rsidR="005655B8" w:rsidRPr="00B24E6B" w:rsidRDefault="005655B8" w:rsidP="00D63FFB">
      <w:pPr>
        <w:numPr>
          <w:ilvl w:val="0"/>
          <w:numId w:val="2"/>
        </w:numPr>
        <w:jc w:val="both"/>
        <w:rPr>
          <w:lang w:val="hr-HR"/>
        </w:rPr>
      </w:pPr>
      <w:r w:rsidRPr="00B24E6B">
        <w:rPr>
          <w:lang w:val="hr-HR"/>
        </w:rPr>
        <w:t>Zakona o plaćama i drugim naknadama sudaca i tužitelja u Federaciji Bosne i Hercegovine («Službene novine Federacije BiH», broj: 72/05, 22/09 i 55/13),</w:t>
      </w:r>
    </w:p>
    <w:p w:rsidR="005655B8" w:rsidRPr="00B24E6B" w:rsidRDefault="005655B8" w:rsidP="00D63FFB">
      <w:pPr>
        <w:numPr>
          <w:ilvl w:val="0"/>
          <w:numId w:val="2"/>
        </w:numPr>
        <w:jc w:val="both"/>
        <w:rPr>
          <w:lang w:val="hr-HR"/>
        </w:rPr>
      </w:pPr>
      <w:r w:rsidRPr="00B24E6B">
        <w:rPr>
          <w:lang w:val="hr-HR"/>
        </w:rPr>
        <w:t>Uredbe o naknadama i drugim materijalnim pravima koji nemaju karakter plaće («Narodne novine Županije Posavske», broj: 11/14, 7/15, 16/19 i 11/20),</w:t>
      </w:r>
    </w:p>
    <w:p w:rsidR="005655B8" w:rsidRPr="00B24E6B" w:rsidRDefault="005655B8" w:rsidP="00D63FFB">
      <w:pPr>
        <w:numPr>
          <w:ilvl w:val="0"/>
          <w:numId w:val="2"/>
        </w:numPr>
        <w:jc w:val="both"/>
        <w:rPr>
          <w:lang w:val="hr-HR"/>
        </w:rPr>
      </w:pPr>
      <w:r w:rsidRPr="00B24E6B">
        <w:rPr>
          <w:lang w:val="hr-HR"/>
        </w:rPr>
        <w:t>Uredbe o plaćama, dodacima i naknadama policijskih službenika Županije Posavske («Narodne novine Županije Posavske», broj: 11/14, 7/15 i 16/19),</w:t>
      </w:r>
    </w:p>
    <w:p w:rsidR="005655B8" w:rsidRPr="00074737" w:rsidRDefault="005655B8" w:rsidP="00D63FFB">
      <w:pPr>
        <w:numPr>
          <w:ilvl w:val="0"/>
          <w:numId w:val="2"/>
        </w:numPr>
        <w:jc w:val="both"/>
        <w:rPr>
          <w:lang w:val="hr-HR"/>
        </w:rPr>
      </w:pPr>
      <w:r w:rsidRPr="00074737">
        <w:rPr>
          <w:lang w:val="hr-HR"/>
        </w:rPr>
        <w:t>Odluke o utvrđivanju platnih razreda i koeficijenata za plaće namještenika u županijskim organima državne službe («Narodne novine Županije Posavske», broj: 8/07 i 9/07),</w:t>
      </w:r>
    </w:p>
    <w:p w:rsidR="005655B8" w:rsidRPr="00074737" w:rsidRDefault="005655B8" w:rsidP="00D63FFB">
      <w:pPr>
        <w:numPr>
          <w:ilvl w:val="0"/>
          <w:numId w:val="2"/>
        </w:numPr>
        <w:jc w:val="both"/>
        <w:rPr>
          <w:lang w:val="hr-HR"/>
        </w:rPr>
      </w:pPr>
      <w:r w:rsidRPr="00074737">
        <w:rPr>
          <w:lang w:val="hr-HR"/>
        </w:rPr>
        <w:t>Odluke o utvrđivanju platnih razreda i koeficijenata za plaće rukovodećih i ostalih državnih službenika u županijskim organima državne službe («Narodne novine Županije Posavske», broj: 8/07, 1/08, 11/12 i 11/14),</w:t>
      </w:r>
    </w:p>
    <w:p w:rsidR="005655B8" w:rsidRPr="00074737" w:rsidRDefault="005655B8" w:rsidP="00D63FFB">
      <w:pPr>
        <w:numPr>
          <w:ilvl w:val="0"/>
          <w:numId w:val="2"/>
        </w:numPr>
        <w:jc w:val="both"/>
        <w:rPr>
          <w:lang w:val="hr-HR"/>
        </w:rPr>
      </w:pPr>
      <w:r w:rsidRPr="00074737">
        <w:rPr>
          <w:lang w:val="hr-HR"/>
        </w:rPr>
        <w:t>Odluke o utvrđivanju koeficijenata za plaće dužnosnika koje bira, imenuje, odobrava imenovanje ili daje suglasnost na imenovanje Skupština Županije Posavske («Narodne novine Županije Posavske», broj: 2/05, 9/07 i 3/15),</w:t>
      </w:r>
    </w:p>
    <w:p w:rsidR="005655B8" w:rsidRPr="00074737" w:rsidRDefault="005655B8" w:rsidP="00D63FFB">
      <w:pPr>
        <w:numPr>
          <w:ilvl w:val="0"/>
          <w:numId w:val="2"/>
        </w:numPr>
        <w:jc w:val="both"/>
        <w:rPr>
          <w:lang w:val="hr-HR"/>
        </w:rPr>
      </w:pPr>
      <w:r w:rsidRPr="00074737">
        <w:rPr>
          <w:lang w:val="hr-HR"/>
        </w:rPr>
        <w:t>Kolektivnog ugovora za djelatnost osnovnog obrazovanja u Županiji Posavskoj («Narodne novine Županije Posavske», broj: 8/20 i 11/20),</w:t>
      </w:r>
    </w:p>
    <w:p w:rsidR="005655B8" w:rsidRPr="00074737" w:rsidRDefault="005655B8" w:rsidP="00D63FFB">
      <w:pPr>
        <w:numPr>
          <w:ilvl w:val="0"/>
          <w:numId w:val="2"/>
        </w:numPr>
        <w:jc w:val="both"/>
        <w:rPr>
          <w:lang w:val="hr-HR"/>
        </w:rPr>
      </w:pPr>
      <w:r w:rsidRPr="00074737">
        <w:rPr>
          <w:lang w:val="hr-HR"/>
        </w:rPr>
        <w:t xml:space="preserve">Kolektivnog ugovora za djelatnost srednjeg obrazovanja u Županiji Posavskoj («Narodne novine Županije Posavske», broj: 8/20), </w:t>
      </w:r>
    </w:p>
    <w:p w:rsidR="005655B8" w:rsidRPr="00074737" w:rsidRDefault="005655B8" w:rsidP="00D63FFB">
      <w:pPr>
        <w:numPr>
          <w:ilvl w:val="0"/>
          <w:numId w:val="2"/>
        </w:numPr>
        <w:jc w:val="both"/>
        <w:rPr>
          <w:lang w:val="hr-HR"/>
        </w:rPr>
      </w:pPr>
      <w:r w:rsidRPr="00074737">
        <w:rPr>
          <w:lang w:val="hr-HR"/>
        </w:rPr>
        <w:lastRenderedPageBreak/>
        <w:t>Kolektivnog ugovora za službenike organa uprave i sudske vlasti u Federaciji Bosne i Hercegovine („Službene novine Federacije BiH“, broj: 1/20),</w:t>
      </w:r>
    </w:p>
    <w:p w:rsidR="005655B8" w:rsidRPr="00074737" w:rsidRDefault="005655B8" w:rsidP="00D63FFB">
      <w:pPr>
        <w:numPr>
          <w:ilvl w:val="0"/>
          <w:numId w:val="2"/>
        </w:numPr>
        <w:jc w:val="both"/>
        <w:rPr>
          <w:lang w:val="hr-HR"/>
        </w:rPr>
      </w:pPr>
      <w:r w:rsidRPr="00074737">
        <w:rPr>
          <w:lang w:val="hr-HR"/>
        </w:rPr>
        <w:t>Kolektivnog ugovora za policijske službenike u Ministarstvu unutarnjih poslova Županije Posavske („Narodne novine Županije Posavske“, broj: 10/19), i</w:t>
      </w:r>
    </w:p>
    <w:p w:rsidR="005655B8" w:rsidRPr="00074737" w:rsidRDefault="005655B8" w:rsidP="00D63FFB">
      <w:pPr>
        <w:numPr>
          <w:ilvl w:val="0"/>
          <w:numId w:val="2"/>
        </w:numPr>
        <w:jc w:val="both"/>
        <w:rPr>
          <w:lang w:val="hr-HR"/>
        </w:rPr>
      </w:pPr>
      <w:r w:rsidRPr="00074737">
        <w:rPr>
          <w:lang w:val="hr-HR"/>
        </w:rPr>
        <w:t xml:space="preserve">Ostalih zakona i </w:t>
      </w:r>
      <w:proofErr w:type="spellStart"/>
      <w:r w:rsidRPr="00074737">
        <w:rPr>
          <w:lang w:val="hr-HR"/>
        </w:rPr>
        <w:t>podzakonskih</w:t>
      </w:r>
      <w:proofErr w:type="spellEnd"/>
      <w:r w:rsidRPr="00074737">
        <w:rPr>
          <w:lang w:val="hr-HR"/>
        </w:rPr>
        <w:t xml:space="preserve"> akata koje sprovode resorna ministarstva Vlade Županije Posavske.</w:t>
      </w:r>
    </w:p>
    <w:p w:rsidR="004B182B" w:rsidRPr="005824CB" w:rsidRDefault="004B182B">
      <w:pPr>
        <w:jc w:val="both"/>
        <w:rPr>
          <w:b/>
          <w:bCs/>
          <w:lang w:val="hr-HR"/>
        </w:rPr>
      </w:pPr>
    </w:p>
    <w:p w:rsidR="00CA1958" w:rsidRPr="005824CB" w:rsidRDefault="00CA1958">
      <w:pPr>
        <w:jc w:val="both"/>
        <w:rPr>
          <w:b/>
          <w:bCs/>
          <w:lang w:val="hr-HR"/>
        </w:rPr>
      </w:pPr>
    </w:p>
    <w:tbl>
      <w:tblPr>
        <w:tblW w:w="0" w:type="auto"/>
        <w:tblLook w:val="0000"/>
      </w:tblPr>
      <w:tblGrid>
        <w:gridCol w:w="828"/>
        <w:gridCol w:w="8771"/>
      </w:tblGrid>
      <w:tr w:rsidR="00CA1958" w:rsidRPr="005824CB">
        <w:tc>
          <w:tcPr>
            <w:tcW w:w="828" w:type="dxa"/>
            <w:shd w:val="clear" w:color="auto" w:fill="404040"/>
          </w:tcPr>
          <w:p w:rsidR="00CA1958" w:rsidRPr="005824CB" w:rsidRDefault="00CA1958">
            <w:pPr>
              <w:pStyle w:val="Naslov"/>
              <w:rPr>
                <w:color w:val="FFFFFF"/>
              </w:rPr>
            </w:pPr>
            <w:r w:rsidRPr="005824CB">
              <w:rPr>
                <w:color w:val="FFFFFF"/>
              </w:rPr>
              <w:t>3.</w:t>
            </w:r>
          </w:p>
        </w:tc>
        <w:tc>
          <w:tcPr>
            <w:tcW w:w="8771" w:type="dxa"/>
          </w:tcPr>
          <w:p w:rsidR="00CA1958" w:rsidRPr="005824CB" w:rsidRDefault="00CA1958" w:rsidP="0060280C">
            <w:pPr>
              <w:pStyle w:val="Naslov"/>
              <w:jc w:val="left"/>
            </w:pPr>
            <w:r w:rsidRPr="005824CB">
              <w:t>MAKROEKONOMSKE PRETPOSTAVKE</w:t>
            </w:r>
          </w:p>
        </w:tc>
      </w:tr>
    </w:tbl>
    <w:p w:rsidR="00CA1958" w:rsidRDefault="00CA1958">
      <w:pPr>
        <w:jc w:val="both"/>
        <w:rPr>
          <w:b/>
          <w:bCs/>
          <w:lang w:val="hr-HR"/>
        </w:rPr>
      </w:pPr>
    </w:p>
    <w:p w:rsidR="0060280C" w:rsidRPr="0060280C" w:rsidRDefault="0060280C" w:rsidP="0060280C">
      <w:pPr>
        <w:ind w:firstLine="720"/>
        <w:jc w:val="both"/>
        <w:rPr>
          <w:shd w:val="clear" w:color="auto" w:fill="FFFFFF"/>
        </w:rPr>
      </w:pPr>
      <w:proofErr w:type="gramStart"/>
      <w:r w:rsidRPr="0060280C">
        <w:rPr>
          <w:shd w:val="clear" w:color="auto" w:fill="FFFFFF"/>
        </w:rPr>
        <w:t xml:space="preserve">U </w:t>
      </w:r>
      <w:proofErr w:type="spellStart"/>
      <w:r w:rsidRPr="0060280C">
        <w:rPr>
          <w:shd w:val="clear" w:color="auto" w:fill="FFFFFF"/>
        </w:rPr>
        <w:t>prosincu</w:t>
      </w:r>
      <w:proofErr w:type="spellEnd"/>
      <w:r w:rsidRPr="0060280C">
        <w:rPr>
          <w:shd w:val="clear" w:color="auto" w:fill="FFFFFF"/>
        </w:rPr>
        <w:t xml:space="preserve"> 2019.</w:t>
      </w:r>
      <w:proofErr w:type="gramEnd"/>
      <w:r w:rsidRPr="0060280C">
        <w:rPr>
          <w:shd w:val="clear" w:color="auto" w:fill="FFFFFF"/>
        </w:rPr>
        <w:t xml:space="preserve"> </w:t>
      </w:r>
      <w:proofErr w:type="spellStart"/>
      <w:proofErr w:type="gramStart"/>
      <w:r w:rsidRPr="0060280C">
        <w:rPr>
          <w:shd w:val="clear" w:color="auto" w:fill="FFFFFF"/>
        </w:rPr>
        <w:t>godine</w:t>
      </w:r>
      <w:proofErr w:type="spellEnd"/>
      <w:proofErr w:type="gramEnd"/>
      <w:r w:rsidRPr="0060280C">
        <w:rPr>
          <w:shd w:val="clear" w:color="auto" w:fill="FFFFFF"/>
        </w:rPr>
        <w:t xml:space="preserve"> </w:t>
      </w:r>
      <w:proofErr w:type="spellStart"/>
      <w:r w:rsidRPr="0060280C">
        <w:rPr>
          <w:shd w:val="clear" w:color="auto" w:fill="FFFFFF"/>
        </w:rPr>
        <w:t>svijet</w:t>
      </w:r>
      <w:proofErr w:type="spellEnd"/>
      <w:r w:rsidRPr="0060280C">
        <w:rPr>
          <w:shd w:val="clear" w:color="auto" w:fill="FFFFFF"/>
        </w:rPr>
        <w:t xml:space="preserve"> je </w:t>
      </w:r>
      <w:proofErr w:type="spellStart"/>
      <w:r w:rsidRPr="0060280C">
        <w:rPr>
          <w:shd w:val="clear" w:color="auto" w:fill="FFFFFF"/>
        </w:rPr>
        <w:t>svjedočio</w:t>
      </w:r>
      <w:proofErr w:type="spellEnd"/>
      <w:r w:rsidRPr="0060280C">
        <w:rPr>
          <w:shd w:val="clear" w:color="auto" w:fill="FFFFFF"/>
        </w:rPr>
        <w:t xml:space="preserve"> </w:t>
      </w:r>
      <w:proofErr w:type="spellStart"/>
      <w:r w:rsidRPr="0060280C">
        <w:rPr>
          <w:shd w:val="clear" w:color="auto" w:fill="FFFFFF"/>
        </w:rPr>
        <w:t>masovnoj</w:t>
      </w:r>
      <w:proofErr w:type="spellEnd"/>
      <w:r w:rsidRPr="0060280C">
        <w:rPr>
          <w:shd w:val="clear" w:color="auto" w:fill="FFFFFF"/>
        </w:rPr>
        <w:t xml:space="preserve"> </w:t>
      </w:r>
      <w:proofErr w:type="spellStart"/>
      <w:r w:rsidRPr="0060280C">
        <w:rPr>
          <w:shd w:val="clear" w:color="auto" w:fill="FFFFFF"/>
        </w:rPr>
        <w:t>pojavi</w:t>
      </w:r>
      <w:proofErr w:type="spellEnd"/>
      <w:r w:rsidRPr="0060280C">
        <w:rPr>
          <w:shd w:val="clear" w:color="auto" w:fill="FFFFFF"/>
        </w:rPr>
        <w:t xml:space="preserve"> </w:t>
      </w:r>
      <w:proofErr w:type="spellStart"/>
      <w:r w:rsidRPr="0060280C">
        <w:rPr>
          <w:shd w:val="clear" w:color="auto" w:fill="FFFFFF"/>
        </w:rPr>
        <w:t>virusa</w:t>
      </w:r>
      <w:proofErr w:type="spellEnd"/>
      <w:r w:rsidRPr="0060280C">
        <w:rPr>
          <w:shd w:val="clear" w:color="auto" w:fill="FFFFFF"/>
        </w:rPr>
        <w:t xml:space="preserve"> COVID-19 u </w:t>
      </w:r>
      <w:proofErr w:type="spellStart"/>
      <w:r w:rsidRPr="0060280C">
        <w:rPr>
          <w:shd w:val="clear" w:color="auto" w:fill="FFFFFF"/>
        </w:rPr>
        <w:t>Kini</w:t>
      </w:r>
      <w:proofErr w:type="spellEnd"/>
      <w:r w:rsidRPr="0060280C">
        <w:rPr>
          <w:shd w:val="clear" w:color="auto" w:fill="FFFFFF"/>
        </w:rPr>
        <w:t xml:space="preserve">, a </w:t>
      </w:r>
      <w:proofErr w:type="spellStart"/>
      <w:r w:rsidRPr="0060280C">
        <w:rPr>
          <w:shd w:val="clear" w:color="auto" w:fill="FFFFFF"/>
        </w:rPr>
        <w:t>potom</w:t>
      </w:r>
      <w:proofErr w:type="spellEnd"/>
      <w:r w:rsidRPr="0060280C">
        <w:rPr>
          <w:shd w:val="clear" w:color="auto" w:fill="FFFFFF"/>
        </w:rPr>
        <w:t xml:space="preserve"> do </w:t>
      </w:r>
      <w:proofErr w:type="spellStart"/>
      <w:r w:rsidRPr="0060280C">
        <w:rPr>
          <w:shd w:val="clear" w:color="auto" w:fill="FFFFFF"/>
        </w:rPr>
        <w:t>konca</w:t>
      </w:r>
      <w:proofErr w:type="spellEnd"/>
      <w:r w:rsidRPr="0060280C">
        <w:rPr>
          <w:shd w:val="clear" w:color="auto" w:fill="FFFFFF"/>
        </w:rPr>
        <w:t xml:space="preserve"> 1. </w:t>
      </w:r>
      <w:proofErr w:type="spellStart"/>
      <w:proofErr w:type="gramStart"/>
      <w:r w:rsidRPr="0060280C">
        <w:rPr>
          <w:shd w:val="clear" w:color="auto" w:fill="FFFFFF"/>
        </w:rPr>
        <w:t>kvartala</w:t>
      </w:r>
      <w:proofErr w:type="spellEnd"/>
      <w:proofErr w:type="gramEnd"/>
      <w:r w:rsidRPr="0060280C">
        <w:rPr>
          <w:shd w:val="clear" w:color="auto" w:fill="FFFFFF"/>
        </w:rPr>
        <w:t xml:space="preserve"> 2020. </w:t>
      </w:r>
      <w:proofErr w:type="spellStart"/>
      <w:proofErr w:type="gramStart"/>
      <w:r w:rsidRPr="0060280C">
        <w:rPr>
          <w:shd w:val="clear" w:color="auto" w:fill="FFFFFF"/>
        </w:rPr>
        <w:t>godine</w:t>
      </w:r>
      <w:proofErr w:type="spellEnd"/>
      <w:proofErr w:type="gramEnd"/>
      <w:r w:rsidRPr="0060280C">
        <w:rPr>
          <w:shd w:val="clear" w:color="auto" w:fill="FFFFFF"/>
        </w:rPr>
        <w:t xml:space="preserve"> </w:t>
      </w:r>
      <w:proofErr w:type="spellStart"/>
      <w:r w:rsidRPr="0060280C">
        <w:rPr>
          <w:shd w:val="clear" w:color="auto" w:fill="FFFFFF"/>
        </w:rPr>
        <w:t>i</w:t>
      </w:r>
      <w:proofErr w:type="spellEnd"/>
      <w:r w:rsidRPr="0060280C">
        <w:rPr>
          <w:shd w:val="clear" w:color="auto" w:fill="FFFFFF"/>
        </w:rPr>
        <w:t xml:space="preserve"> u </w:t>
      </w:r>
      <w:proofErr w:type="spellStart"/>
      <w:r w:rsidRPr="0060280C">
        <w:rPr>
          <w:shd w:val="clear" w:color="auto" w:fill="FFFFFF"/>
        </w:rPr>
        <w:t>većem</w:t>
      </w:r>
      <w:proofErr w:type="spellEnd"/>
      <w:r w:rsidRPr="0060280C">
        <w:rPr>
          <w:shd w:val="clear" w:color="auto" w:fill="FFFFFF"/>
        </w:rPr>
        <w:t xml:space="preserve"> </w:t>
      </w:r>
      <w:proofErr w:type="spellStart"/>
      <w:r w:rsidRPr="0060280C">
        <w:rPr>
          <w:shd w:val="clear" w:color="auto" w:fill="FFFFFF"/>
        </w:rPr>
        <w:t>dijelu</w:t>
      </w:r>
      <w:proofErr w:type="spellEnd"/>
      <w:r w:rsidRPr="0060280C">
        <w:rPr>
          <w:shd w:val="clear" w:color="auto" w:fill="FFFFFF"/>
        </w:rPr>
        <w:t xml:space="preserve"> </w:t>
      </w:r>
      <w:proofErr w:type="spellStart"/>
      <w:r w:rsidRPr="0060280C">
        <w:rPr>
          <w:shd w:val="clear" w:color="auto" w:fill="FFFFFF"/>
        </w:rPr>
        <w:t>ostatka</w:t>
      </w:r>
      <w:proofErr w:type="spellEnd"/>
      <w:r w:rsidRPr="0060280C">
        <w:rPr>
          <w:shd w:val="clear" w:color="auto" w:fill="FFFFFF"/>
        </w:rPr>
        <w:t xml:space="preserve"> </w:t>
      </w:r>
      <w:proofErr w:type="spellStart"/>
      <w:r w:rsidRPr="0060280C">
        <w:rPr>
          <w:shd w:val="clear" w:color="auto" w:fill="FFFFFF"/>
        </w:rPr>
        <w:t>svijeta</w:t>
      </w:r>
      <w:proofErr w:type="spellEnd"/>
      <w:r w:rsidRPr="0060280C">
        <w:rPr>
          <w:shd w:val="clear" w:color="auto" w:fill="FFFFFF"/>
        </w:rPr>
        <w:t xml:space="preserve">. </w:t>
      </w:r>
      <w:proofErr w:type="spellStart"/>
      <w:proofErr w:type="gramStart"/>
      <w:r w:rsidRPr="0060280C">
        <w:rPr>
          <w:shd w:val="clear" w:color="auto" w:fill="FFFFFF"/>
        </w:rPr>
        <w:t>Svjetska</w:t>
      </w:r>
      <w:proofErr w:type="spellEnd"/>
      <w:r w:rsidRPr="0060280C">
        <w:rPr>
          <w:shd w:val="clear" w:color="auto" w:fill="FFFFFF"/>
        </w:rPr>
        <w:t xml:space="preserve"> </w:t>
      </w:r>
      <w:proofErr w:type="spellStart"/>
      <w:r w:rsidRPr="0060280C">
        <w:rPr>
          <w:shd w:val="clear" w:color="auto" w:fill="FFFFFF"/>
        </w:rPr>
        <w:t>zdravstvena</w:t>
      </w:r>
      <w:proofErr w:type="spellEnd"/>
      <w:r w:rsidRPr="0060280C">
        <w:rPr>
          <w:shd w:val="clear" w:color="auto" w:fill="FFFFFF"/>
        </w:rPr>
        <w:t xml:space="preserve"> </w:t>
      </w:r>
      <w:proofErr w:type="spellStart"/>
      <w:r w:rsidRPr="0060280C">
        <w:rPr>
          <w:shd w:val="clear" w:color="auto" w:fill="FFFFFF"/>
        </w:rPr>
        <w:t>organizacija</w:t>
      </w:r>
      <w:proofErr w:type="spellEnd"/>
      <w:r w:rsidRPr="0060280C">
        <w:rPr>
          <w:shd w:val="clear" w:color="auto" w:fill="FFFFFF"/>
        </w:rPr>
        <w:t xml:space="preserve"> (WHO) je 11.03.2020.</w:t>
      </w:r>
      <w:proofErr w:type="gramEnd"/>
      <w:r w:rsidRPr="0060280C">
        <w:rPr>
          <w:shd w:val="clear" w:color="auto" w:fill="FFFFFF"/>
        </w:rPr>
        <w:t xml:space="preserve"> </w:t>
      </w:r>
      <w:proofErr w:type="spellStart"/>
      <w:proofErr w:type="gramStart"/>
      <w:r w:rsidRPr="0060280C">
        <w:rPr>
          <w:shd w:val="clear" w:color="auto" w:fill="FFFFFF"/>
        </w:rPr>
        <w:t>godine</w:t>
      </w:r>
      <w:proofErr w:type="spellEnd"/>
      <w:proofErr w:type="gramEnd"/>
      <w:r w:rsidRPr="0060280C">
        <w:rPr>
          <w:shd w:val="clear" w:color="auto" w:fill="FFFFFF"/>
        </w:rPr>
        <w:t xml:space="preserve"> </w:t>
      </w:r>
      <w:proofErr w:type="spellStart"/>
      <w:r w:rsidRPr="0060280C">
        <w:rPr>
          <w:shd w:val="clear" w:color="auto" w:fill="FFFFFF"/>
        </w:rPr>
        <w:t>proglasila</w:t>
      </w:r>
      <w:proofErr w:type="spellEnd"/>
      <w:r w:rsidRPr="0060280C">
        <w:rPr>
          <w:shd w:val="clear" w:color="auto" w:fill="FFFFFF"/>
        </w:rPr>
        <w:t xml:space="preserve"> </w:t>
      </w:r>
      <w:proofErr w:type="spellStart"/>
      <w:r w:rsidRPr="0060280C">
        <w:rPr>
          <w:shd w:val="clear" w:color="auto" w:fill="FFFFFF"/>
        </w:rPr>
        <w:t>pandemiju</w:t>
      </w:r>
      <w:proofErr w:type="spellEnd"/>
      <w:r w:rsidRPr="0060280C">
        <w:rPr>
          <w:shd w:val="clear" w:color="auto" w:fill="FFFFFF"/>
        </w:rPr>
        <w:t xml:space="preserve"> COVID-19 </w:t>
      </w:r>
      <w:proofErr w:type="spellStart"/>
      <w:r w:rsidRPr="0060280C">
        <w:rPr>
          <w:shd w:val="clear" w:color="auto" w:fill="FFFFFF"/>
        </w:rPr>
        <w:t>virusa</w:t>
      </w:r>
      <w:proofErr w:type="spellEnd"/>
      <w:r w:rsidRPr="0060280C">
        <w:rPr>
          <w:shd w:val="clear" w:color="auto" w:fill="FFFFFF"/>
        </w:rPr>
        <w:t xml:space="preserve">. </w:t>
      </w:r>
      <w:proofErr w:type="spellStart"/>
      <w:r w:rsidRPr="0060280C">
        <w:rPr>
          <w:shd w:val="clear" w:color="auto" w:fill="FFFFFF"/>
        </w:rPr>
        <w:t>Vijeće</w:t>
      </w:r>
      <w:proofErr w:type="spellEnd"/>
      <w:r w:rsidRPr="0060280C">
        <w:rPr>
          <w:shd w:val="clear" w:color="auto" w:fill="FFFFFF"/>
        </w:rPr>
        <w:t xml:space="preserve"> </w:t>
      </w:r>
      <w:proofErr w:type="spellStart"/>
      <w:r w:rsidRPr="0060280C">
        <w:rPr>
          <w:shd w:val="clear" w:color="auto" w:fill="FFFFFF"/>
        </w:rPr>
        <w:t>ministara</w:t>
      </w:r>
      <w:proofErr w:type="spellEnd"/>
      <w:r w:rsidRPr="0060280C">
        <w:rPr>
          <w:shd w:val="clear" w:color="auto" w:fill="FFFFFF"/>
        </w:rPr>
        <w:t xml:space="preserve"> </w:t>
      </w:r>
      <w:proofErr w:type="spellStart"/>
      <w:r w:rsidRPr="0060280C">
        <w:rPr>
          <w:shd w:val="clear" w:color="auto" w:fill="FFFFFF"/>
        </w:rPr>
        <w:t>BiH</w:t>
      </w:r>
      <w:proofErr w:type="spellEnd"/>
      <w:r w:rsidRPr="0060280C">
        <w:rPr>
          <w:shd w:val="clear" w:color="auto" w:fill="FFFFFF"/>
        </w:rPr>
        <w:t xml:space="preserve"> </w:t>
      </w:r>
      <w:proofErr w:type="spellStart"/>
      <w:r w:rsidRPr="0060280C">
        <w:rPr>
          <w:shd w:val="clear" w:color="auto" w:fill="FFFFFF"/>
        </w:rPr>
        <w:t>donijelo</w:t>
      </w:r>
      <w:proofErr w:type="spellEnd"/>
      <w:r w:rsidRPr="0060280C">
        <w:rPr>
          <w:shd w:val="clear" w:color="auto" w:fill="FFFFFF"/>
        </w:rPr>
        <w:t xml:space="preserve"> je </w:t>
      </w:r>
      <w:proofErr w:type="spellStart"/>
      <w:r w:rsidRPr="0060280C">
        <w:rPr>
          <w:shd w:val="clear" w:color="auto" w:fill="FFFFFF"/>
        </w:rPr>
        <w:t>Odluku</w:t>
      </w:r>
      <w:proofErr w:type="spellEnd"/>
      <w:r w:rsidRPr="0060280C">
        <w:rPr>
          <w:shd w:val="clear" w:color="auto" w:fill="FFFFFF"/>
        </w:rPr>
        <w:t xml:space="preserve"> o </w:t>
      </w:r>
      <w:proofErr w:type="spellStart"/>
      <w:r w:rsidRPr="0060280C">
        <w:rPr>
          <w:shd w:val="clear" w:color="auto" w:fill="FFFFFF"/>
        </w:rPr>
        <w:t>proglašenju</w:t>
      </w:r>
      <w:proofErr w:type="spellEnd"/>
      <w:r w:rsidRPr="0060280C">
        <w:rPr>
          <w:shd w:val="clear" w:color="auto" w:fill="FFFFFF"/>
        </w:rPr>
        <w:t xml:space="preserve"> </w:t>
      </w:r>
      <w:proofErr w:type="spellStart"/>
      <w:r w:rsidRPr="0060280C">
        <w:rPr>
          <w:shd w:val="clear" w:color="auto" w:fill="FFFFFF"/>
        </w:rPr>
        <w:t>stanja</w:t>
      </w:r>
      <w:proofErr w:type="spellEnd"/>
      <w:r w:rsidRPr="0060280C">
        <w:rPr>
          <w:shd w:val="clear" w:color="auto" w:fill="FFFFFF"/>
        </w:rPr>
        <w:t xml:space="preserve"> </w:t>
      </w:r>
      <w:proofErr w:type="spellStart"/>
      <w:r w:rsidRPr="0060280C">
        <w:rPr>
          <w:shd w:val="clear" w:color="auto" w:fill="FFFFFF"/>
        </w:rPr>
        <w:t>prirodne</w:t>
      </w:r>
      <w:proofErr w:type="spellEnd"/>
      <w:r w:rsidRPr="0060280C">
        <w:rPr>
          <w:shd w:val="clear" w:color="auto" w:fill="FFFFFF"/>
        </w:rPr>
        <w:t xml:space="preserve"> </w:t>
      </w:r>
      <w:proofErr w:type="spellStart"/>
      <w:r w:rsidRPr="0060280C">
        <w:rPr>
          <w:shd w:val="clear" w:color="auto" w:fill="FFFFFF"/>
        </w:rPr>
        <w:t>i</w:t>
      </w:r>
      <w:proofErr w:type="spellEnd"/>
      <w:r w:rsidRPr="0060280C">
        <w:rPr>
          <w:shd w:val="clear" w:color="auto" w:fill="FFFFFF"/>
        </w:rPr>
        <w:t xml:space="preserve"> </w:t>
      </w:r>
      <w:proofErr w:type="spellStart"/>
      <w:r w:rsidRPr="0060280C">
        <w:rPr>
          <w:shd w:val="clear" w:color="auto" w:fill="FFFFFF"/>
        </w:rPr>
        <w:t>druge</w:t>
      </w:r>
      <w:proofErr w:type="spellEnd"/>
      <w:r w:rsidRPr="0060280C">
        <w:rPr>
          <w:shd w:val="clear" w:color="auto" w:fill="FFFFFF"/>
        </w:rPr>
        <w:t xml:space="preserve"> </w:t>
      </w:r>
      <w:proofErr w:type="spellStart"/>
      <w:r w:rsidRPr="0060280C">
        <w:rPr>
          <w:shd w:val="clear" w:color="auto" w:fill="FFFFFF"/>
        </w:rPr>
        <w:t>nesreće</w:t>
      </w:r>
      <w:proofErr w:type="spellEnd"/>
      <w:r w:rsidRPr="0060280C">
        <w:rPr>
          <w:shd w:val="clear" w:color="auto" w:fill="FFFFFF"/>
        </w:rPr>
        <w:t xml:space="preserve"> </w:t>
      </w:r>
      <w:proofErr w:type="spellStart"/>
      <w:proofErr w:type="gramStart"/>
      <w:r w:rsidRPr="0060280C">
        <w:rPr>
          <w:shd w:val="clear" w:color="auto" w:fill="FFFFFF"/>
        </w:rPr>
        <w:t>na</w:t>
      </w:r>
      <w:proofErr w:type="spellEnd"/>
      <w:proofErr w:type="gramEnd"/>
      <w:r w:rsidRPr="0060280C">
        <w:rPr>
          <w:shd w:val="clear" w:color="auto" w:fill="FFFFFF"/>
        </w:rPr>
        <w:t xml:space="preserve"> </w:t>
      </w:r>
      <w:proofErr w:type="spellStart"/>
      <w:r w:rsidRPr="0060280C">
        <w:rPr>
          <w:shd w:val="clear" w:color="auto" w:fill="FFFFFF"/>
        </w:rPr>
        <w:t>području</w:t>
      </w:r>
      <w:proofErr w:type="spellEnd"/>
      <w:r w:rsidRPr="0060280C">
        <w:rPr>
          <w:shd w:val="clear" w:color="auto" w:fill="FFFFFF"/>
        </w:rPr>
        <w:t xml:space="preserve"> </w:t>
      </w:r>
      <w:proofErr w:type="spellStart"/>
      <w:r w:rsidRPr="0060280C">
        <w:rPr>
          <w:shd w:val="clear" w:color="auto" w:fill="FFFFFF"/>
        </w:rPr>
        <w:t>BiH</w:t>
      </w:r>
      <w:proofErr w:type="spellEnd"/>
      <w:r w:rsidRPr="0060280C">
        <w:rPr>
          <w:shd w:val="clear" w:color="auto" w:fill="FFFFFF"/>
        </w:rPr>
        <w:t xml:space="preserve"> </w:t>
      </w:r>
      <w:proofErr w:type="spellStart"/>
      <w:r w:rsidRPr="0060280C">
        <w:rPr>
          <w:shd w:val="clear" w:color="auto" w:fill="FFFFFF"/>
        </w:rPr>
        <w:t>dana</w:t>
      </w:r>
      <w:proofErr w:type="spellEnd"/>
      <w:r w:rsidRPr="0060280C">
        <w:rPr>
          <w:shd w:val="clear" w:color="auto" w:fill="FFFFFF"/>
        </w:rPr>
        <w:t xml:space="preserve"> 17.03.2020. </w:t>
      </w:r>
      <w:proofErr w:type="spellStart"/>
      <w:proofErr w:type="gramStart"/>
      <w:r w:rsidRPr="0060280C">
        <w:rPr>
          <w:shd w:val="clear" w:color="auto" w:fill="FFFFFF"/>
        </w:rPr>
        <w:t>godine</w:t>
      </w:r>
      <w:proofErr w:type="spellEnd"/>
      <w:proofErr w:type="gramEnd"/>
      <w:r w:rsidRPr="0060280C">
        <w:rPr>
          <w:shd w:val="clear" w:color="auto" w:fill="FFFFFF"/>
        </w:rPr>
        <w:t xml:space="preserve">, </w:t>
      </w:r>
      <w:proofErr w:type="spellStart"/>
      <w:r w:rsidRPr="0060280C">
        <w:rPr>
          <w:shd w:val="clear" w:color="auto" w:fill="FFFFFF"/>
        </w:rPr>
        <w:t>nakon</w:t>
      </w:r>
      <w:proofErr w:type="spellEnd"/>
      <w:r w:rsidRPr="0060280C">
        <w:rPr>
          <w:shd w:val="clear" w:color="auto" w:fill="FFFFFF"/>
        </w:rPr>
        <w:t xml:space="preserve"> </w:t>
      </w:r>
      <w:proofErr w:type="spellStart"/>
      <w:r w:rsidRPr="0060280C">
        <w:rPr>
          <w:shd w:val="clear" w:color="auto" w:fill="FFFFFF"/>
        </w:rPr>
        <w:t>čega</w:t>
      </w:r>
      <w:proofErr w:type="spellEnd"/>
      <w:r w:rsidRPr="0060280C">
        <w:rPr>
          <w:shd w:val="clear" w:color="auto" w:fill="FFFFFF"/>
        </w:rPr>
        <w:t xml:space="preserve"> </w:t>
      </w:r>
      <w:proofErr w:type="spellStart"/>
      <w:r w:rsidRPr="0060280C">
        <w:rPr>
          <w:shd w:val="clear" w:color="auto" w:fill="FFFFFF"/>
        </w:rPr>
        <w:t>su</w:t>
      </w:r>
      <w:proofErr w:type="spellEnd"/>
      <w:r w:rsidRPr="0060280C">
        <w:rPr>
          <w:shd w:val="clear" w:color="auto" w:fill="FFFFFF"/>
        </w:rPr>
        <w:t xml:space="preserve"> se, </w:t>
      </w:r>
      <w:proofErr w:type="spellStart"/>
      <w:r w:rsidRPr="0060280C">
        <w:rPr>
          <w:shd w:val="clear" w:color="auto" w:fill="FFFFFF"/>
        </w:rPr>
        <w:t>po</w:t>
      </w:r>
      <w:proofErr w:type="spellEnd"/>
      <w:r w:rsidRPr="0060280C">
        <w:rPr>
          <w:shd w:val="clear" w:color="auto" w:fill="FFFFFF"/>
        </w:rPr>
        <w:t xml:space="preserve"> </w:t>
      </w:r>
      <w:proofErr w:type="spellStart"/>
      <w:r w:rsidRPr="0060280C">
        <w:rPr>
          <w:shd w:val="clear" w:color="auto" w:fill="FFFFFF"/>
        </w:rPr>
        <w:t>uzoru</w:t>
      </w:r>
      <w:proofErr w:type="spellEnd"/>
      <w:r w:rsidRPr="0060280C">
        <w:rPr>
          <w:shd w:val="clear" w:color="auto" w:fill="FFFFFF"/>
        </w:rPr>
        <w:t xml:space="preserve"> </w:t>
      </w:r>
      <w:proofErr w:type="spellStart"/>
      <w:r w:rsidRPr="0060280C">
        <w:rPr>
          <w:shd w:val="clear" w:color="auto" w:fill="FFFFFF"/>
        </w:rPr>
        <w:t>na</w:t>
      </w:r>
      <w:proofErr w:type="spellEnd"/>
      <w:r w:rsidRPr="0060280C">
        <w:rPr>
          <w:shd w:val="clear" w:color="auto" w:fill="FFFFFF"/>
        </w:rPr>
        <w:t xml:space="preserve"> </w:t>
      </w:r>
      <w:proofErr w:type="spellStart"/>
      <w:r w:rsidRPr="0060280C">
        <w:rPr>
          <w:shd w:val="clear" w:color="auto" w:fill="FFFFFF"/>
        </w:rPr>
        <w:t>mjere</w:t>
      </w:r>
      <w:proofErr w:type="spellEnd"/>
      <w:r w:rsidRPr="0060280C">
        <w:rPr>
          <w:shd w:val="clear" w:color="auto" w:fill="FFFFFF"/>
        </w:rPr>
        <w:t xml:space="preserve"> </w:t>
      </w:r>
      <w:proofErr w:type="spellStart"/>
      <w:r w:rsidRPr="0060280C">
        <w:rPr>
          <w:shd w:val="clear" w:color="auto" w:fill="FFFFFF"/>
        </w:rPr>
        <w:t>zaštite</w:t>
      </w:r>
      <w:proofErr w:type="spellEnd"/>
      <w:r w:rsidRPr="0060280C">
        <w:rPr>
          <w:shd w:val="clear" w:color="auto" w:fill="FFFFFF"/>
        </w:rPr>
        <w:t xml:space="preserve"> </w:t>
      </w:r>
      <w:proofErr w:type="spellStart"/>
      <w:r w:rsidRPr="0060280C">
        <w:rPr>
          <w:shd w:val="clear" w:color="auto" w:fill="FFFFFF"/>
        </w:rPr>
        <w:t>i</w:t>
      </w:r>
      <w:proofErr w:type="spellEnd"/>
      <w:r w:rsidRPr="0060280C">
        <w:rPr>
          <w:shd w:val="clear" w:color="auto" w:fill="FFFFFF"/>
        </w:rPr>
        <w:t xml:space="preserve"> </w:t>
      </w:r>
      <w:proofErr w:type="spellStart"/>
      <w:r w:rsidRPr="0060280C">
        <w:rPr>
          <w:shd w:val="clear" w:color="auto" w:fill="FFFFFF"/>
        </w:rPr>
        <w:t>suzbijanja</w:t>
      </w:r>
      <w:proofErr w:type="spellEnd"/>
      <w:r w:rsidRPr="0060280C">
        <w:rPr>
          <w:shd w:val="clear" w:color="auto" w:fill="FFFFFF"/>
        </w:rPr>
        <w:t xml:space="preserve"> </w:t>
      </w:r>
      <w:proofErr w:type="spellStart"/>
      <w:r w:rsidRPr="0060280C">
        <w:rPr>
          <w:shd w:val="clear" w:color="auto" w:fill="FFFFFF"/>
        </w:rPr>
        <w:t>koje</w:t>
      </w:r>
      <w:proofErr w:type="spellEnd"/>
      <w:r w:rsidRPr="0060280C">
        <w:rPr>
          <w:shd w:val="clear" w:color="auto" w:fill="FFFFFF"/>
        </w:rPr>
        <w:t xml:space="preserve"> </w:t>
      </w:r>
      <w:proofErr w:type="spellStart"/>
      <w:r w:rsidRPr="0060280C">
        <w:rPr>
          <w:shd w:val="clear" w:color="auto" w:fill="FFFFFF"/>
        </w:rPr>
        <w:t>su</w:t>
      </w:r>
      <w:proofErr w:type="spellEnd"/>
      <w:r w:rsidRPr="0060280C">
        <w:rPr>
          <w:shd w:val="clear" w:color="auto" w:fill="FFFFFF"/>
        </w:rPr>
        <w:t xml:space="preserve"> se </w:t>
      </w:r>
      <w:proofErr w:type="spellStart"/>
      <w:r w:rsidRPr="0060280C">
        <w:rPr>
          <w:shd w:val="clear" w:color="auto" w:fill="FFFFFF"/>
        </w:rPr>
        <w:t>uspješno</w:t>
      </w:r>
      <w:proofErr w:type="spellEnd"/>
      <w:r w:rsidRPr="0060280C">
        <w:rPr>
          <w:shd w:val="clear" w:color="auto" w:fill="FFFFFF"/>
        </w:rPr>
        <w:t xml:space="preserve"> </w:t>
      </w:r>
      <w:proofErr w:type="spellStart"/>
      <w:r w:rsidRPr="0060280C">
        <w:rPr>
          <w:shd w:val="clear" w:color="auto" w:fill="FFFFFF"/>
        </w:rPr>
        <w:t>provodile</w:t>
      </w:r>
      <w:proofErr w:type="spellEnd"/>
      <w:r w:rsidRPr="0060280C">
        <w:rPr>
          <w:shd w:val="clear" w:color="auto" w:fill="FFFFFF"/>
        </w:rPr>
        <w:t xml:space="preserve"> u </w:t>
      </w:r>
      <w:proofErr w:type="spellStart"/>
      <w:r w:rsidRPr="0060280C">
        <w:rPr>
          <w:shd w:val="clear" w:color="auto" w:fill="FFFFFF"/>
        </w:rPr>
        <w:t>drugim</w:t>
      </w:r>
      <w:proofErr w:type="spellEnd"/>
      <w:r w:rsidRPr="0060280C">
        <w:rPr>
          <w:shd w:val="clear" w:color="auto" w:fill="FFFFFF"/>
        </w:rPr>
        <w:t xml:space="preserve"> </w:t>
      </w:r>
      <w:proofErr w:type="spellStart"/>
      <w:r w:rsidRPr="0060280C">
        <w:rPr>
          <w:shd w:val="clear" w:color="auto" w:fill="FFFFFF"/>
        </w:rPr>
        <w:t>zemljama</w:t>
      </w:r>
      <w:proofErr w:type="spellEnd"/>
      <w:r w:rsidRPr="0060280C">
        <w:rPr>
          <w:shd w:val="clear" w:color="auto" w:fill="FFFFFF"/>
        </w:rPr>
        <w:t xml:space="preserve">, </w:t>
      </w:r>
      <w:proofErr w:type="spellStart"/>
      <w:r w:rsidRPr="0060280C">
        <w:rPr>
          <w:shd w:val="clear" w:color="auto" w:fill="FFFFFF"/>
        </w:rPr>
        <w:t>počele</w:t>
      </w:r>
      <w:proofErr w:type="spellEnd"/>
      <w:r w:rsidRPr="0060280C">
        <w:rPr>
          <w:shd w:val="clear" w:color="auto" w:fill="FFFFFF"/>
        </w:rPr>
        <w:t xml:space="preserve"> </w:t>
      </w:r>
      <w:proofErr w:type="spellStart"/>
      <w:r w:rsidRPr="0060280C">
        <w:rPr>
          <w:shd w:val="clear" w:color="auto" w:fill="FFFFFF"/>
        </w:rPr>
        <w:t>poduzimati</w:t>
      </w:r>
      <w:proofErr w:type="spellEnd"/>
      <w:r w:rsidRPr="0060280C">
        <w:rPr>
          <w:shd w:val="clear" w:color="auto" w:fill="FFFFFF"/>
        </w:rPr>
        <w:t xml:space="preserve"> </w:t>
      </w:r>
      <w:proofErr w:type="spellStart"/>
      <w:r w:rsidRPr="0060280C">
        <w:rPr>
          <w:shd w:val="clear" w:color="auto" w:fill="FFFFFF"/>
        </w:rPr>
        <w:t>socijalne</w:t>
      </w:r>
      <w:proofErr w:type="spellEnd"/>
      <w:r w:rsidRPr="0060280C">
        <w:rPr>
          <w:shd w:val="clear" w:color="auto" w:fill="FFFFFF"/>
        </w:rPr>
        <w:t xml:space="preserve"> </w:t>
      </w:r>
      <w:proofErr w:type="spellStart"/>
      <w:r w:rsidRPr="0060280C">
        <w:rPr>
          <w:shd w:val="clear" w:color="auto" w:fill="FFFFFF"/>
        </w:rPr>
        <w:t>mjere</w:t>
      </w:r>
      <w:proofErr w:type="spellEnd"/>
      <w:r w:rsidRPr="0060280C">
        <w:rPr>
          <w:shd w:val="clear" w:color="auto" w:fill="FFFFFF"/>
        </w:rPr>
        <w:t xml:space="preserve"> </w:t>
      </w:r>
      <w:proofErr w:type="spellStart"/>
      <w:r w:rsidRPr="0060280C">
        <w:rPr>
          <w:shd w:val="clear" w:color="auto" w:fill="FFFFFF"/>
        </w:rPr>
        <w:t>ograničenog</w:t>
      </w:r>
      <w:proofErr w:type="spellEnd"/>
      <w:r w:rsidRPr="0060280C">
        <w:rPr>
          <w:shd w:val="clear" w:color="auto" w:fill="FFFFFF"/>
        </w:rPr>
        <w:t xml:space="preserve"> </w:t>
      </w:r>
      <w:proofErr w:type="spellStart"/>
      <w:r w:rsidRPr="0060280C">
        <w:rPr>
          <w:shd w:val="clear" w:color="auto" w:fill="FFFFFF"/>
        </w:rPr>
        <w:t>kretanja</w:t>
      </w:r>
      <w:proofErr w:type="spellEnd"/>
      <w:r w:rsidRPr="0060280C">
        <w:rPr>
          <w:shd w:val="clear" w:color="auto" w:fill="FFFFFF"/>
        </w:rPr>
        <w:t xml:space="preserve"> </w:t>
      </w:r>
      <w:proofErr w:type="spellStart"/>
      <w:r w:rsidRPr="0060280C">
        <w:rPr>
          <w:shd w:val="clear" w:color="auto" w:fill="FFFFFF"/>
        </w:rPr>
        <w:t>i</w:t>
      </w:r>
      <w:proofErr w:type="spellEnd"/>
      <w:r w:rsidRPr="0060280C">
        <w:rPr>
          <w:shd w:val="clear" w:color="auto" w:fill="FFFFFF"/>
        </w:rPr>
        <w:t xml:space="preserve"> </w:t>
      </w:r>
      <w:proofErr w:type="spellStart"/>
      <w:r w:rsidRPr="0060280C">
        <w:rPr>
          <w:shd w:val="clear" w:color="auto" w:fill="FFFFFF"/>
        </w:rPr>
        <w:t>zabrane</w:t>
      </w:r>
      <w:proofErr w:type="spellEnd"/>
      <w:r w:rsidRPr="0060280C">
        <w:rPr>
          <w:shd w:val="clear" w:color="auto" w:fill="FFFFFF"/>
        </w:rPr>
        <w:t xml:space="preserve"> </w:t>
      </w:r>
      <w:proofErr w:type="spellStart"/>
      <w:r w:rsidRPr="0060280C">
        <w:rPr>
          <w:shd w:val="clear" w:color="auto" w:fill="FFFFFF"/>
        </w:rPr>
        <w:t>većih</w:t>
      </w:r>
      <w:proofErr w:type="spellEnd"/>
      <w:r w:rsidRPr="0060280C">
        <w:rPr>
          <w:shd w:val="clear" w:color="auto" w:fill="FFFFFF"/>
        </w:rPr>
        <w:t xml:space="preserve"> </w:t>
      </w:r>
      <w:proofErr w:type="spellStart"/>
      <w:r w:rsidRPr="0060280C">
        <w:rPr>
          <w:shd w:val="clear" w:color="auto" w:fill="FFFFFF"/>
        </w:rPr>
        <w:t>javnih</w:t>
      </w:r>
      <w:proofErr w:type="spellEnd"/>
      <w:r w:rsidRPr="0060280C">
        <w:rPr>
          <w:shd w:val="clear" w:color="auto" w:fill="FFFFFF"/>
        </w:rPr>
        <w:t xml:space="preserve"> </w:t>
      </w:r>
      <w:proofErr w:type="spellStart"/>
      <w:r w:rsidRPr="0060280C">
        <w:rPr>
          <w:shd w:val="clear" w:color="auto" w:fill="FFFFFF"/>
        </w:rPr>
        <w:t>okupljanja</w:t>
      </w:r>
      <w:proofErr w:type="spellEnd"/>
      <w:r w:rsidRPr="0060280C">
        <w:rPr>
          <w:shd w:val="clear" w:color="auto" w:fill="FFFFFF"/>
        </w:rPr>
        <w:t xml:space="preserve"> u </w:t>
      </w:r>
      <w:proofErr w:type="spellStart"/>
      <w:r w:rsidRPr="0060280C">
        <w:rPr>
          <w:shd w:val="clear" w:color="auto" w:fill="FFFFFF"/>
        </w:rPr>
        <w:t>Bosni</w:t>
      </w:r>
      <w:proofErr w:type="spellEnd"/>
      <w:r w:rsidRPr="0060280C">
        <w:rPr>
          <w:shd w:val="clear" w:color="auto" w:fill="FFFFFF"/>
        </w:rPr>
        <w:t xml:space="preserve"> </w:t>
      </w:r>
      <w:proofErr w:type="spellStart"/>
      <w:r w:rsidRPr="0060280C">
        <w:rPr>
          <w:shd w:val="clear" w:color="auto" w:fill="FFFFFF"/>
        </w:rPr>
        <w:t>i</w:t>
      </w:r>
      <w:proofErr w:type="spellEnd"/>
      <w:r w:rsidRPr="0060280C">
        <w:rPr>
          <w:shd w:val="clear" w:color="auto" w:fill="FFFFFF"/>
        </w:rPr>
        <w:t xml:space="preserve"> </w:t>
      </w:r>
      <w:proofErr w:type="spellStart"/>
      <w:r w:rsidRPr="0060280C">
        <w:rPr>
          <w:shd w:val="clear" w:color="auto" w:fill="FFFFFF"/>
        </w:rPr>
        <w:t>Hercegovini</w:t>
      </w:r>
      <w:proofErr w:type="spellEnd"/>
      <w:r w:rsidRPr="0060280C">
        <w:rPr>
          <w:shd w:val="clear" w:color="auto" w:fill="FFFFFF"/>
        </w:rPr>
        <w:t xml:space="preserve">. </w:t>
      </w:r>
      <w:proofErr w:type="spellStart"/>
      <w:r w:rsidRPr="0060280C">
        <w:rPr>
          <w:shd w:val="clear" w:color="auto" w:fill="FFFFFF"/>
        </w:rPr>
        <w:t>Navedeno</w:t>
      </w:r>
      <w:proofErr w:type="spellEnd"/>
      <w:r w:rsidRPr="0060280C">
        <w:rPr>
          <w:shd w:val="clear" w:color="auto" w:fill="FFFFFF"/>
        </w:rPr>
        <w:t xml:space="preserve"> je </w:t>
      </w:r>
      <w:proofErr w:type="spellStart"/>
      <w:r w:rsidRPr="0060280C">
        <w:rPr>
          <w:shd w:val="clear" w:color="auto" w:fill="FFFFFF"/>
        </w:rPr>
        <w:t>dovelo</w:t>
      </w:r>
      <w:proofErr w:type="spellEnd"/>
      <w:r w:rsidRPr="0060280C">
        <w:rPr>
          <w:shd w:val="clear" w:color="auto" w:fill="FFFFFF"/>
        </w:rPr>
        <w:t xml:space="preserve"> do </w:t>
      </w:r>
      <w:proofErr w:type="spellStart"/>
      <w:r w:rsidRPr="0060280C">
        <w:rPr>
          <w:shd w:val="clear" w:color="auto" w:fill="FFFFFF"/>
        </w:rPr>
        <w:t>prekida</w:t>
      </w:r>
      <w:proofErr w:type="spellEnd"/>
      <w:r w:rsidRPr="0060280C">
        <w:rPr>
          <w:shd w:val="clear" w:color="auto" w:fill="FFFFFF"/>
        </w:rPr>
        <w:t xml:space="preserve"> u </w:t>
      </w:r>
      <w:proofErr w:type="spellStart"/>
      <w:r w:rsidRPr="0060280C">
        <w:rPr>
          <w:shd w:val="clear" w:color="auto" w:fill="FFFFFF"/>
        </w:rPr>
        <w:t>lancima</w:t>
      </w:r>
      <w:proofErr w:type="spellEnd"/>
      <w:r w:rsidRPr="0060280C">
        <w:rPr>
          <w:shd w:val="clear" w:color="auto" w:fill="FFFFFF"/>
        </w:rPr>
        <w:t xml:space="preserve"> </w:t>
      </w:r>
      <w:proofErr w:type="spellStart"/>
      <w:r w:rsidRPr="0060280C">
        <w:rPr>
          <w:shd w:val="clear" w:color="auto" w:fill="FFFFFF"/>
        </w:rPr>
        <w:t>opskrbe</w:t>
      </w:r>
      <w:proofErr w:type="spellEnd"/>
      <w:r w:rsidRPr="0060280C">
        <w:rPr>
          <w:shd w:val="clear" w:color="auto" w:fill="FFFFFF"/>
        </w:rPr>
        <w:t xml:space="preserve"> </w:t>
      </w:r>
      <w:proofErr w:type="spellStart"/>
      <w:r w:rsidRPr="0060280C">
        <w:rPr>
          <w:shd w:val="clear" w:color="auto" w:fill="FFFFFF"/>
        </w:rPr>
        <w:t>uslijed</w:t>
      </w:r>
      <w:proofErr w:type="spellEnd"/>
      <w:r w:rsidRPr="0060280C">
        <w:rPr>
          <w:shd w:val="clear" w:color="auto" w:fill="FFFFFF"/>
        </w:rPr>
        <w:t xml:space="preserve"> </w:t>
      </w:r>
      <w:proofErr w:type="spellStart"/>
      <w:r w:rsidRPr="0060280C">
        <w:rPr>
          <w:shd w:val="clear" w:color="auto" w:fill="FFFFFF"/>
        </w:rPr>
        <w:t>imobilnosti</w:t>
      </w:r>
      <w:proofErr w:type="spellEnd"/>
      <w:r w:rsidRPr="0060280C">
        <w:rPr>
          <w:shd w:val="clear" w:color="auto" w:fill="FFFFFF"/>
        </w:rPr>
        <w:t xml:space="preserve"> </w:t>
      </w:r>
      <w:proofErr w:type="spellStart"/>
      <w:r w:rsidRPr="0060280C">
        <w:rPr>
          <w:shd w:val="clear" w:color="auto" w:fill="FFFFFF"/>
        </w:rPr>
        <w:t>ljudi</w:t>
      </w:r>
      <w:proofErr w:type="spellEnd"/>
      <w:r w:rsidRPr="0060280C">
        <w:rPr>
          <w:shd w:val="clear" w:color="auto" w:fill="FFFFFF"/>
        </w:rPr>
        <w:t xml:space="preserve">, </w:t>
      </w:r>
      <w:proofErr w:type="spellStart"/>
      <w:r w:rsidRPr="0060280C">
        <w:rPr>
          <w:shd w:val="clear" w:color="auto" w:fill="FFFFFF"/>
        </w:rPr>
        <w:t>roba</w:t>
      </w:r>
      <w:proofErr w:type="spellEnd"/>
      <w:r w:rsidRPr="0060280C">
        <w:rPr>
          <w:shd w:val="clear" w:color="auto" w:fill="FFFFFF"/>
        </w:rPr>
        <w:t xml:space="preserve"> </w:t>
      </w:r>
      <w:proofErr w:type="spellStart"/>
      <w:r w:rsidRPr="0060280C">
        <w:rPr>
          <w:shd w:val="clear" w:color="auto" w:fill="FFFFFF"/>
        </w:rPr>
        <w:t>i</w:t>
      </w:r>
      <w:proofErr w:type="spellEnd"/>
      <w:r w:rsidRPr="0060280C">
        <w:rPr>
          <w:shd w:val="clear" w:color="auto" w:fill="FFFFFF"/>
        </w:rPr>
        <w:t xml:space="preserve"> </w:t>
      </w:r>
      <w:proofErr w:type="spellStart"/>
      <w:r w:rsidRPr="0060280C">
        <w:rPr>
          <w:shd w:val="clear" w:color="auto" w:fill="FFFFFF"/>
        </w:rPr>
        <w:t>usluga</w:t>
      </w:r>
      <w:proofErr w:type="spellEnd"/>
      <w:r w:rsidRPr="0060280C">
        <w:rPr>
          <w:shd w:val="clear" w:color="auto" w:fill="FFFFFF"/>
        </w:rPr>
        <w:t xml:space="preserve">, </w:t>
      </w:r>
      <w:proofErr w:type="spellStart"/>
      <w:proofErr w:type="gramStart"/>
      <w:r w:rsidRPr="0060280C">
        <w:rPr>
          <w:shd w:val="clear" w:color="auto" w:fill="FFFFFF"/>
        </w:rPr>
        <w:t>te</w:t>
      </w:r>
      <w:proofErr w:type="spellEnd"/>
      <w:proofErr w:type="gramEnd"/>
      <w:r w:rsidRPr="0060280C">
        <w:rPr>
          <w:shd w:val="clear" w:color="auto" w:fill="FFFFFF"/>
        </w:rPr>
        <w:t xml:space="preserve"> je </w:t>
      </w:r>
      <w:proofErr w:type="spellStart"/>
      <w:r w:rsidRPr="0060280C">
        <w:rPr>
          <w:shd w:val="clear" w:color="auto" w:fill="FFFFFF"/>
        </w:rPr>
        <w:t>došlo</w:t>
      </w:r>
      <w:proofErr w:type="spellEnd"/>
      <w:r w:rsidRPr="0060280C">
        <w:rPr>
          <w:shd w:val="clear" w:color="auto" w:fill="FFFFFF"/>
        </w:rPr>
        <w:t xml:space="preserve"> do </w:t>
      </w:r>
      <w:proofErr w:type="spellStart"/>
      <w:r w:rsidRPr="0060280C">
        <w:rPr>
          <w:shd w:val="clear" w:color="auto" w:fill="FFFFFF"/>
        </w:rPr>
        <w:t>djelomičnog</w:t>
      </w:r>
      <w:proofErr w:type="spellEnd"/>
      <w:r w:rsidRPr="0060280C">
        <w:rPr>
          <w:shd w:val="clear" w:color="auto" w:fill="FFFFFF"/>
        </w:rPr>
        <w:t xml:space="preserve"> </w:t>
      </w:r>
      <w:proofErr w:type="spellStart"/>
      <w:r w:rsidRPr="0060280C">
        <w:rPr>
          <w:shd w:val="clear" w:color="auto" w:fill="FFFFFF"/>
        </w:rPr>
        <w:t>ili</w:t>
      </w:r>
      <w:proofErr w:type="spellEnd"/>
      <w:r w:rsidRPr="0060280C">
        <w:rPr>
          <w:shd w:val="clear" w:color="auto" w:fill="FFFFFF"/>
        </w:rPr>
        <w:t xml:space="preserve"> </w:t>
      </w:r>
      <w:proofErr w:type="spellStart"/>
      <w:r w:rsidRPr="0060280C">
        <w:rPr>
          <w:shd w:val="clear" w:color="auto" w:fill="FFFFFF"/>
        </w:rPr>
        <w:t>potpunog</w:t>
      </w:r>
      <w:proofErr w:type="spellEnd"/>
      <w:r w:rsidRPr="0060280C">
        <w:rPr>
          <w:shd w:val="clear" w:color="auto" w:fill="FFFFFF"/>
        </w:rPr>
        <w:t xml:space="preserve"> </w:t>
      </w:r>
      <w:proofErr w:type="spellStart"/>
      <w:r w:rsidRPr="0060280C">
        <w:rPr>
          <w:shd w:val="clear" w:color="auto" w:fill="FFFFFF"/>
        </w:rPr>
        <w:t>prestanka</w:t>
      </w:r>
      <w:proofErr w:type="spellEnd"/>
      <w:r w:rsidRPr="0060280C">
        <w:rPr>
          <w:shd w:val="clear" w:color="auto" w:fill="FFFFFF"/>
        </w:rPr>
        <w:t xml:space="preserve"> </w:t>
      </w:r>
      <w:proofErr w:type="spellStart"/>
      <w:r w:rsidRPr="0060280C">
        <w:rPr>
          <w:shd w:val="clear" w:color="auto" w:fill="FFFFFF"/>
        </w:rPr>
        <w:t>poslovanja</w:t>
      </w:r>
      <w:proofErr w:type="spellEnd"/>
      <w:r w:rsidRPr="0060280C">
        <w:rPr>
          <w:shd w:val="clear" w:color="auto" w:fill="FFFFFF"/>
        </w:rPr>
        <w:t xml:space="preserve"> </w:t>
      </w:r>
      <w:proofErr w:type="spellStart"/>
      <w:r w:rsidRPr="0060280C">
        <w:rPr>
          <w:shd w:val="clear" w:color="auto" w:fill="FFFFFF"/>
        </w:rPr>
        <w:t>pojedinih</w:t>
      </w:r>
      <w:proofErr w:type="spellEnd"/>
      <w:r w:rsidRPr="0060280C">
        <w:rPr>
          <w:shd w:val="clear" w:color="auto" w:fill="FFFFFF"/>
        </w:rPr>
        <w:t xml:space="preserve"> </w:t>
      </w:r>
      <w:proofErr w:type="spellStart"/>
      <w:r w:rsidRPr="0060280C">
        <w:rPr>
          <w:shd w:val="clear" w:color="auto" w:fill="FFFFFF"/>
        </w:rPr>
        <w:t>pravnih</w:t>
      </w:r>
      <w:proofErr w:type="spellEnd"/>
      <w:r w:rsidRPr="0060280C">
        <w:rPr>
          <w:shd w:val="clear" w:color="auto" w:fill="FFFFFF"/>
        </w:rPr>
        <w:t xml:space="preserve"> </w:t>
      </w:r>
      <w:proofErr w:type="spellStart"/>
      <w:r w:rsidRPr="0060280C">
        <w:rPr>
          <w:shd w:val="clear" w:color="auto" w:fill="FFFFFF"/>
        </w:rPr>
        <w:t>subjekata</w:t>
      </w:r>
      <w:proofErr w:type="spellEnd"/>
      <w:r w:rsidRPr="0060280C">
        <w:rPr>
          <w:shd w:val="clear" w:color="auto" w:fill="FFFFFF"/>
        </w:rPr>
        <w:t xml:space="preserve">. </w:t>
      </w:r>
      <w:proofErr w:type="spellStart"/>
      <w:r w:rsidRPr="0060280C">
        <w:rPr>
          <w:shd w:val="clear" w:color="auto" w:fill="FFFFFF"/>
        </w:rPr>
        <w:t>Zatvaranja</w:t>
      </w:r>
      <w:proofErr w:type="spellEnd"/>
      <w:r w:rsidRPr="0060280C">
        <w:rPr>
          <w:shd w:val="clear" w:color="auto" w:fill="FFFFFF"/>
        </w:rPr>
        <w:t xml:space="preserve"> </w:t>
      </w:r>
      <w:proofErr w:type="spellStart"/>
      <w:r w:rsidRPr="0060280C">
        <w:rPr>
          <w:shd w:val="clear" w:color="auto" w:fill="FFFFFF"/>
        </w:rPr>
        <w:t>granica</w:t>
      </w:r>
      <w:proofErr w:type="spellEnd"/>
      <w:r w:rsidRPr="0060280C">
        <w:rPr>
          <w:shd w:val="clear" w:color="auto" w:fill="FFFFFF"/>
        </w:rPr>
        <w:t xml:space="preserve"> </w:t>
      </w:r>
      <w:proofErr w:type="spellStart"/>
      <w:r w:rsidRPr="0060280C">
        <w:rPr>
          <w:shd w:val="clear" w:color="auto" w:fill="FFFFFF"/>
        </w:rPr>
        <w:t>i</w:t>
      </w:r>
      <w:proofErr w:type="spellEnd"/>
      <w:r w:rsidRPr="0060280C">
        <w:rPr>
          <w:shd w:val="clear" w:color="auto" w:fill="FFFFFF"/>
        </w:rPr>
        <w:t xml:space="preserve"> </w:t>
      </w:r>
      <w:proofErr w:type="spellStart"/>
      <w:r w:rsidRPr="0060280C">
        <w:rPr>
          <w:shd w:val="clear" w:color="auto" w:fill="FFFFFF"/>
        </w:rPr>
        <w:t>zabrane</w:t>
      </w:r>
      <w:proofErr w:type="spellEnd"/>
      <w:r w:rsidRPr="0060280C">
        <w:rPr>
          <w:shd w:val="clear" w:color="auto" w:fill="FFFFFF"/>
        </w:rPr>
        <w:t xml:space="preserve"> </w:t>
      </w:r>
      <w:proofErr w:type="spellStart"/>
      <w:r w:rsidRPr="0060280C">
        <w:rPr>
          <w:shd w:val="clear" w:color="auto" w:fill="FFFFFF"/>
        </w:rPr>
        <w:t>kako</w:t>
      </w:r>
      <w:proofErr w:type="spellEnd"/>
      <w:r w:rsidRPr="0060280C">
        <w:rPr>
          <w:shd w:val="clear" w:color="auto" w:fill="FFFFFF"/>
        </w:rPr>
        <w:t xml:space="preserve"> </w:t>
      </w:r>
      <w:proofErr w:type="spellStart"/>
      <w:r w:rsidRPr="0060280C">
        <w:rPr>
          <w:shd w:val="clear" w:color="auto" w:fill="FFFFFF"/>
        </w:rPr>
        <w:t>međudržavnog</w:t>
      </w:r>
      <w:proofErr w:type="spellEnd"/>
      <w:r w:rsidRPr="0060280C">
        <w:rPr>
          <w:shd w:val="clear" w:color="auto" w:fill="FFFFFF"/>
        </w:rPr>
        <w:t xml:space="preserve"> </w:t>
      </w:r>
      <w:proofErr w:type="spellStart"/>
      <w:r w:rsidRPr="0060280C">
        <w:rPr>
          <w:shd w:val="clear" w:color="auto" w:fill="FFFFFF"/>
        </w:rPr>
        <w:t>tako</w:t>
      </w:r>
      <w:proofErr w:type="spellEnd"/>
      <w:r w:rsidRPr="0060280C">
        <w:rPr>
          <w:shd w:val="clear" w:color="auto" w:fill="FFFFFF"/>
        </w:rPr>
        <w:t xml:space="preserve"> </w:t>
      </w:r>
      <w:proofErr w:type="spellStart"/>
      <w:r w:rsidRPr="0060280C">
        <w:rPr>
          <w:shd w:val="clear" w:color="auto" w:fill="FFFFFF"/>
        </w:rPr>
        <w:t>i</w:t>
      </w:r>
      <w:proofErr w:type="spellEnd"/>
      <w:r w:rsidRPr="0060280C">
        <w:rPr>
          <w:shd w:val="clear" w:color="auto" w:fill="FFFFFF"/>
        </w:rPr>
        <w:t xml:space="preserve"> </w:t>
      </w:r>
      <w:proofErr w:type="spellStart"/>
      <w:r w:rsidRPr="0060280C">
        <w:rPr>
          <w:shd w:val="clear" w:color="auto" w:fill="FFFFFF"/>
        </w:rPr>
        <w:t>međuregionalnog</w:t>
      </w:r>
      <w:proofErr w:type="spellEnd"/>
      <w:r w:rsidRPr="0060280C">
        <w:rPr>
          <w:shd w:val="clear" w:color="auto" w:fill="FFFFFF"/>
        </w:rPr>
        <w:t xml:space="preserve"> </w:t>
      </w:r>
      <w:proofErr w:type="spellStart"/>
      <w:r w:rsidRPr="0060280C">
        <w:rPr>
          <w:shd w:val="clear" w:color="auto" w:fill="FFFFFF"/>
        </w:rPr>
        <w:t>i</w:t>
      </w:r>
      <w:proofErr w:type="spellEnd"/>
      <w:r w:rsidRPr="0060280C">
        <w:rPr>
          <w:shd w:val="clear" w:color="auto" w:fill="FFFFFF"/>
        </w:rPr>
        <w:t xml:space="preserve"> </w:t>
      </w:r>
      <w:proofErr w:type="spellStart"/>
      <w:r w:rsidRPr="0060280C">
        <w:rPr>
          <w:shd w:val="clear" w:color="auto" w:fill="FFFFFF"/>
        </w:rPr>
        <w:t>međugradskog</w:t>
      </w:r>
      <w:proofErr w:type="spellEnd"/>
      <w:r w:rsidRPr="0060280C">
        <w:rPr>
          <w:shd w:val="clear" w:color="auto" w:fill="FFFFFF"/>
        </w:rPr>
        <w:t xml:space="preserve"> </w:t>
      </w:r>
      <w:proofErr w:type="spellStart"/>
      <w:r w:rsidRPr="0060280C">
        <w:rPr>
          <w:shd w:val="clear" w:color="auto" w:fill="FFFFFF"/>
        </w:rPr>
        <w:t>kretanja</w:t>
      </w:r>
      <w:proofErr w:type="spellEnd"/>
      <w:r w:rsidRPr="0060280C">
        <w:rPr>
          <w:shd w:val="clear" w:color="auto" w:fill="FFFFFF"/>
        </w:rPr>
        <w:t xml:space="preserve"> </w:t>
      </w:r>
      <w:proofErr w:type="spellStart"/>
      <w:r w:rsidRPr="0060280C">
        <w:rPr>
          <w:shd w:val="clear" w:color="auto" w:fill="FFFFFF"/>
        </w:rPr>
        <w:t>ljudi</w:t>
      </w:r>
      <w:proofErr w:type="spellEnd"/>
      <w:r w:rsidRPr="0060280C">
        <w:rPr>
          <w:shd w:val="clear" w:color="auto" w:fill="FFFFFF"/>
        </w:rPr>
        <w:t xml:space="preserve">, </w:t>
      </w:r>
      <w:proofErr w:type="spellStart"/>
      <w:proofErr w:type="gramStart"/>
      <w:r w:rsidRPr="0060280C">
        <w:rPr>
          <w:shd w:val="clear" w:color="auto" w:fill="FFFFFF"/>
        </w:rPr>
        <w:t>te</w:t>
      </w:r>
      <w:proofErr w:type="spellEnd"/>
      <w:proofErr w:type="gramEnd"/>
      <w:r w:rsidRPr="0060280C">
        <w:rPr>
          <w:shd w:val="clear" w:color="auto" w:fill="FFFFFF"/>
        </w:rPr>
        <w:t xml:space="preserve"> </w:t>
      </w:r>
      <w:proofErr w:type="spellStart"/>
      <w:r w:rsidRPr="0060280C">
        <w:rPr>
          <w:shd w:val="clear" w:color="auto" w:fill="FFFFFF"/>
        </w:rPr>
        <w:t>uvođenje</w:t>
      </w:r>
      <w:proofErr w:type="spellEnd"/>
      <w:r w:rsidRPr="0060280C">
        <w:rPr>
          <w:shd w:val="clear" w:color="auto" w:fill="FFFFFF"/>
        </w:rPr>
        <w:t xml:space="preserve"> </w:t>
      </w:r>
      <w:proofErr w:type="spellStart"/>
      <w:r w:rsidRPr="0060280C">
        <w:rPr>
          <w:shd w:val="clear" w:color="auto" w:fill="FFFFFF"/>
        </w:rPr>
        <w:t>izvoznih</w:t>
      </w:r>
      <w:proofErr w:type="spellEnd"/>
      <w:r w:rsidRPr="0060280C">
        <w:rPr>
          <w:shd w:val="clear" w:color="auto" w:fill="FFFFFF"/>
        </w:rPr>
        <w:t xml:space="preserve"> </w:t>
      </w:r>
      <w:proofErr w:type="spellStart"/>
      <w:r w:rsidRPr="0060280C">
        <w:rPr>
          <w:shd w:val="clear" w:color="auto" w:fill="FFFFFF"/>
        </w:rPr>
        <w:t>barijera</w:t>
      </w:r>
      <w:proofErr w:type="spellEnd"/>
      <w:r w:rsidRPr="0060280C">
        <w:rPr>
          <w:shd w:val="clear" w:color="auto" w:fill="FFFFFF"/>
        </w:rPr>
        <w:t xml:space="preserve"> </w:t>
      </w:r>
      <w:proofErr w:type="spellStart"/>
      <w:r w:rsidRPr="0060280C">
        <w:rPr>
          <w:shd w:val="clear" w:color="auto" w:fill="FFFFFF"/>
        </w:rPr>
        <w:t>za</w:t>
      </w:r>
      <w:proofErr w:type="spellEnd"/>
      <w:r w:rsidRPr="0060280C">
        <w:rPr>
          <w:shd w:val="clear" w:color="auto" w:fill="FFFFFF"/>
        </w:rPr>
        <w:t xml:space="preserve"> </w:t>
      </w:r>
      <w:proofErr w:type="spellStart"/>
      <w:r w:rsidRPr="0060280C">
        <w:rPr>
          <w:shd w:val="clear" w:color="auto" w:fill="FFFFFF"/>
        </w:rPr>
        <w:t>pojedine</w:t>
      </w:r>
      <w:proofErr w:type="spellEnd"/>
      <w:r w:rsidRPr="0060280C">
        <w:rPr>
          <w:shd w:val="clear" w:color="auto" w:fill="FFFFFF"/>
        </w:rPr>
        <w:t xml:space="preserve"> </w:t>
      </w:r>
      <w:proofErr w:type="spellStart"/>
      <w:r w:rsidRPr="0060280C">
        <w:rPr>
          <w:shd w:val="clear" w:color="auto" w:fill="FFFFFF"/>
        </w:rPr>
        <w:t>proizvode</w:t>
      </w:r>
      <w:proofErr w:type="spellEnd"/>
      <w:r w:rsidRPr="0060280C">
        <w:rPr>
          <w:shd w:val="clear" w:color="auto" w:fill="FFFFFF"/>
        </w:rPr>
        <w:t xml:space="preserve">, </w:t>
      </w:r>
      <w:proofErr w:type="spellStart"/>
      <w:r w:rsidRPr="0060280C">
        <w:rPr>
          <w:shd w:val="clear" w:color="auto" w:fill="FFFFFF"/>
        </w:rPr>
        <w:t>dodatno</w:t>
      </w:r>
      <w:proofErr w:type="spellEnd"/>
      <w:r w:rsidRPr="0060280C">
        <w:rPr>
          <w:shd w:val="clear" w:color="auto" w:fill="FFFFFF"/>
        </w:rPr>
        <w:t xml:space="preserve"> </w:t>
      </w:r>
      <w:proofErr w:type="spellStart"/>
      <w:r w:rsidRPr="0060280C">
        <w:rPr>
          <w:shd w:val="clear" w:color="auto" w:fill="FFFFFF"/>
        </w:rPr>
        <w:t>su</w:t>
      </w:r>
      <w:proofErr w:type="spellEnd"/>
      <w:r w:rsidRPr="0060280C">
        <w:rPr>
          <w:shd w:val="clear" w:color="auto" w:fill="FFFFFF"/>
        </w:rPr>
        <w:t xml:space="preserve"> </w:t>
      </w:r>
      <w:proofErr w:type="spellStart"/>
      <w:r w:rsidRPr="0060280C">
        <w:rPr>
          <w:shd w:val="clear" w:color="auto" w:fill="FFFFFF"/>
        </w:rPr>
        <w:t>produbile</w:t>
      </w:r>
      <w:proofErr w:type="spellEnd"/>
      <w:r w:rsidRPr="0060280C">
        <w:rPr>
          <w:shd w:val="clear" w:color="auto" w:fill="FFFFFF"/>
        </w:rPr>
        <w:t xml:space="preserve"> </w:t>
      </w:r>
      <w:proofErr w:type="spellStart"/>
      <w:r w:rsidRPr="0060280C">
        <w:rPr>
          <w:shd w:val="clear" w:color="auto" w:fill="FFFFFF"/>
        </w:rPr>
        <w:t>ekonomsku</w:t>
      </w:r>
      <w:proofErr w:type="spellEnd"/>
      <w:r w:rsidRPr="0060280C">
        <w:rPr>
          <w:shd w:val="clear" w:color="auto" w:fill="FFFFFF"/>
        </w:rPr>
        <w:t xml:space="preserve"> </w:t>
      </w:r>
      <w:proofErr w:type="spellStart"/>
      <w:r w:rsidRPr="0060280C">
        <w:rPr>
          <w:shd w:val="clear" w:color="auto" w:fill="FFFFFF"/>
        </w:rPr>
        <w:t>krizu</w:t>
      </w:r>
      <w:proofErr w:type="spellEnd"/>
      <w:r w:rsidRPr="0060280C">
        <w:rPr>
          <w:shd w:val="clear" w:color="auto" w:fill="FFFFFF"/>
        </w:rPr>
        <w:t xml:space="preserve">. </w:t>
      </w:r>
      <w:proofErr w:type="gramStart"/>
      <w:r w:rsidRPr="0060280C">
        <w:rPr>
          <w:shd w:val="clear" w:color="auto" w:fill="FFFFFF"/>
        </w:rPr>
        <w:t xml:space="preserve">U </w:t>
      </w:r>
      <w:proofErr w:type="spellStart"/>
      <w:r w:rsidRPr="0060280C">
        <w:rPr>
          <w:shd w:val="clear" w:color="auto" w:fill="FFFFFF"/>
        </w:rPr>
        <w:t>pojedinim</w:t>
      </w:r>
      <w:proofErr w:type="spellEnd"/>
      <w:r w:rsidRPr="0060280C">
        <w:rPr>
          <w:shd w:val="clear" w:color="auto" w:fill="FFFFFF"/>
        </w:rPr>
        <w:t xml:space="preserve"> </w:t>
      </w:r>
      <w:proofErr w:type="spellStart"/>
      <w:r w:rsidRPr="0060280C">
        <w:rPr>
          <w:shd w:val="clear" w:color="auto" w:fill="FFFFFF"/>
        </w:rPr>
        <w:t>granama</w:t>
      </w:r>
      <w:proofErr w:type="spellEnd"/>
      <w:r w:rsidRPr="0060280C">
        <w:rPr>
          <w:shd w:val="clear" w:color="auto" w:fill="FFFFFF"/>
        </w:rPr>
        <w:t xml:space="preserve"> </w:t>
      </w:r>
      <w:proofErr w:type="spellStart"/>
      <w:r w:rsidRPr="0060280C">
        <w:rPr>
          <w:shd w:val="clear" w:color="auto" w:fill="FFFFFF"/>
        </w:rPr>
        <w:t>gospodarstva</w:t>
      </w:r>
      <w:proofErr w:type="spellEnd"/>
      <w:r w:rsidRPr="0060280C">
        <w:rPr>
          <w:shd w:val="clear" w:color="auto" w:fill="FFFFFF"/>
        </w:rPr>
        <w:t xml:space="preserve"> </w:t>
      </w:r>
      <w:proofErr w:type="spellStart"/>
      <w:r w:rsidRPr="0060280C">
        <w:rPr>
          <w:shd w:val="clear" w:color="auto" w:fill="FFFFFF"/>
        </w:rPr>
        <w:t>uvedena</w:t>
      </w:r>
      <w:proofErr w:type="spellEnd"/>
      <w:r w:rsidRPr="0060280C">
        <w:rPr>
          <w:shd w:val="clear" w:color="auto" w:fill="FFFFFF"/>
        </w:rPr>
        <w:t xml:space="preserve"> je </w:t>
      </w:r>
      <w:proofErr w:type="spellStart"/>
      <w:r w:rsidRPr="0060280C">
        <w:rPr>
          <w:shd w:val="clear" w:color="auto" w:fill="FFFFFF"/>
        </w:rPr>
        <w:t>potpuna</w:t>
      </w:r>
      <w:proofErr w:type="spellEnd"/>
      <w:r w:rsidRPr="0060280C">
        <w:rPr>
          <w:shd w:val="clear" w:color="auto" w:fill="FFFFFF"/>
        </w:rPr>
        <w:t xml:space="preserve"> </w:t>
      </w:r>
      <w:proofErr w:type="spellStart"/>
      <w:r w:rsidRPr="0060280C">
        <w:rPr>
          <w:shd w:val="clear" w:color="auto" w:fill="FFFFFF"/>
        </w:rPr>
        <w:t>zabrana</w:t>
      </w:r>
      <w:proofErr w:type="spellEnd"/>
      <w:r w:rsidRPr="0060280C">
        <w:rPr>
          <w:shd w:val="clear" w:color="auto" w:fill="FFFFFF"/>
        </w:rPr>
        <w:t xml:space="preserve"> </w:t>
      </w:r>
      <w:proofErr w:type="spellStart"/>
      <w:r w:rsidRPr="0060280C">
        <w:rPr>
          <w:shd w:val="clear" w:color="auto" w:fill="FFFFFF"/>
        </w:rPr>
        <w:t>rada</w:t>
      </w:r>
      <w:proofErr w:type="spellEnd"/>
      <w:r w:rsidRPr="0060280C">
        <w:rPr>
          <w:shd w:val="clear" w:color="auto" w:fill="FFFFFF"/>
        </w:rPr>
        <w:t xml:space="preserve">, </w:t>
      </w:r>
      <w:proofErr w:type="spellStart"/>
      <w:r w:rsidRPr="0060280C">
        <w:rPr>
          <w:shd w:val="clear" w:color="auto" w:fill="FFFFFF"/>
        </w:rPr>
        <w:t>dok</w:t>
      </w:r>
      <w:proofErr w:type="spellEnd"/>
      <w:r w:rsidRPr="0060280C">
        <w:rPr>
          <w:shd w:val="clear" w:color="auto" w:fill="FFFFFF"/>
        </w:rPr>
        <w:t xml:space="preserve"> </w:t>
      </w:r>
      <w:proofErr w:type="spellStart"/>
      <w:r w:rsidRPr="0060280C">
        <w:rPr>
          <w:shd w:val="clear" w:color="auto" w:fill="FFFFFF"/>
        </w:rPr>
        <w:t>su</w:t>
      </w:r>
      <w:proofErr w:type="spellEnd"/>
      <w:r w:rsidRPr="0060280C">
        <w:rPr>
          <w:shd w:val="clear" w:color="auto" w:fill="FFFFFF"/>
        </w:rPr>
        <w:t xml:space="preserve"> u </w:t>
      </w:r>
      <w:proofErr w:type="spellStart"/>
      <w:r w:rsidRPr="0060280C">
        <w:rPr>
          <w:shd w:val="clear" w:color="auto" w:fill="FFFFFF"/>
        </w:rPr>
        <w:t>ostalim</w:t>
      </w:r>
      <w:proofErr w:type="spellEnd"/>
      <w:r w:rsidRPr="0060280C">
        <w:rPr>
          <w:shd w:val="clear" w:color="auto" w:fill="FFFFFF"/>
        </w:rPr>
        <w:t xml:space="preserve"> </w:t>
      </w:r>
      <w:proofErr w:type="spellStart"/>
      <w:r w:rsidRPr="0060280C">
        <w:rPr>
          <w:shd w:val="clear" w:color="auto" w:fill="FFFFFF"/>
        </w:rPr>
        <w:t>djelatnostima</w:t>
      </w:r>
      <w:proofErr w:type="spellEnd"/>
      <w:r w:rsidRPr="0060280C">
        <w:rPr>
          <w:shd w:val="clear" w:color="auto" w:fill="FFFFFF"/>
        </w:rPr>
        <w:t xml:space="preserve"> </w:t>
      </w:r>
      <w:proofErr w:type="spellStart"/>
      <w:r w:rsidRPr="0060280C">
        <w:rPr>
          <w:shd w:val="clear" w:color="auto" w:fill="FFFFFF"/>
        </w:rPr>
        <w:t>smanjeni</w:t>
      </w:r>
      <w:proofErr w:type="spellEnd"/>
      <w:r w:rsidRPr="0060280C">
        <w:rPr>
          <w:shd w:val="clear" w:color="auto" w:fill="FFFFFF"/>
        </w:rPr>
        <w:t xml:space="preserve"> </w:t>
      </w:r>
      <w:proofErr w:type="spellStart"/>
      <w:r w:rsidRPr="0060280C">
        <w:rPr>
          <w:shd w:val="clear" w:color="auto" w:fill="FFFFFF"/>
        </w:rPr>
        <w:t>kapaciteti</w:t>
      </w:r>
      <w:proofErr w:type="spellEnd"/>
      <w:r w:rsidRPr="0060280C">
        <w:rPr>
          <w:shd w:val="clear" w:color="auto" w:fill="FFFFFF"/>
        </w:rPr>
        <w:t>.</w:t>
      </w:r>
      <w:proofErr w:type="gramEnd"/>
      <w:r w:rsidRPr="0060280C">
        <w:rPr>
          <w:shd w:val="clear" w:color="auto" w:fill="FFFFFF"/>
        </w:rPr>
        <w:t xml:space="preserve"> </w:t>
      </w:r>
      <w:proofErr w:type="spellStart"/>
      <w:proofErr w:type="gramStart"/>
      <w:r w:rsidRPr="0060280C">
        <w:rPr>
          <w:shd w:val="clear" w:color="auto" w:fill="FFFFFF"/>
        </w:rPr>
        <w:t>Navedeno</w:t>
      </w:r>
      <w:proofErr w:type="spellEnd"/>
      <w:r w:rsidRPr="0060280C">
        <w:rPr>
          <w:shd w:val="clear" w:color="auto" w:fill="FFFFFF"/>
        </w:rPr>
        <w:t xml:space="preserve"> je </w:t>
      </w:r>
      <w:proofErr w:type="spellStart"/>
      <w:r w:rsidRPr="0060280C">
        <w:rPr>
          <w:shd w:val="clear" w:color="auto" w:fill="FFFFFF"/>
        </w:rPr>
        <w:t>osobito</w:t>
      </w:r>
      <w:proofErr w:type="spellEnd"/>
      <w:r w:rsidRPr="0060280C">
        <w:rPr>
          <w:shd w:val="clear" w:color="auto" w:fill="FFFFFF"/>
        </w:rPr>
        <w:t xml:space="preserve"> </w:t>
      </w:r>
      <w:proofErr w:type="spellStart"/>
      <w:r w:rsidRPr="0060280C">
        <w:rPr>
          <w:shd w:val="clear" w:color="auto" w:fill="FFFFFF"/>
        </w:rPr>
        <w:t>pogodilo</w:t>
      </w:r>
      <w:proofErr w:type="spellEnd"/>
      <w:r w:rsidRPr="0060280C">
        <w:rPr>
          <w:shd w:val="clear" w:color="auto" w:fill="FFFFFF"/>
        </w:rPr>
        <w:t xml:space="preserve"> mala </w:t>
      </w:r>
      <w:proofErr w:type="spellStart"/>
      <w:r w:rsidRPr="0060280C">
        <w:rPr>
          <w:shd w:val="clear" w:color="auto" w:fill="FFFFFF"/>
        </w:rPr>
        <w:t>i</w:t>
      </w:r>
      <w:proofErr w:type="spellEnd"/>
      <w:r w:rsidRPr="0060280C">
        <w:rPr>
          <w:shd w:val="clear" w:color="auto" w:fill="FFFFFF"/>
        </w:rPr>
        <w:t xml:space="preserve"> </w:t>
      </w:r>
      <w:proofErr w:type="spellStart"/>
      <w:r w:rsidRPr="0060280C">
        <w:rPr>
          <w:shd w:val="clear" w:color="auto" w:fill="FFFFFF"/>
        </w:rPr>
        <w:t>srednja</w:t>
      </w:r>
      <w:proofErr w:type="spellEnd"/>
      <w:r w:rsidRPr="0060280C">
        <w:rPr>
          <w:shd w:val="clear" w:color="auto" w:fill="FFFFFF"/>
        </w:rPr>
        <w:t xml:space="preserve"> </w:t>
      </w:r>
      <w:proofErr w:type="spellStart"/>
      <w:r w:rsidRPr="0060280C">
        <w:rPr>
          <w:shd w:val="clear" w:color="auto" w:fill="FFFFFF"/>
        </w:rPr>
        <w:t>poduzeća</w:t>
      </w:r>
      <w:proofErr w:type="spellEnd"/>
      <w:r w:rsidRPr="0060280C">
        <w:rPr>
          <w:shd w:val="clear" w:color="auto" w:fill="FFFFFF"/>
        </w:rPr>
        <w:t xml:space="preserve">, u </w:t>
      </w:r>
      <w:proofErr w:type="spellStart"/>
      <w:r w:rsidRPr="0060280C">
        <w:rPr>
          <w:shd w:val="clear" w:color="auto" w:fill="FFFFFF"/>
        </w:rPr>
        <w:t>kojima</w:t>
      </w:r>
      <w:proofErr w:type="spellEnd"/>
      <w:r w:rsidRPr="0060280C">
        <w:rPr>
          <w:shd w:val="clear" w:color="auto" w:fill="FFFFFF"/>
        </w:rPr>
        <w:t xml:space="preserve"> je </w:t>
      </w:r>
      <w:proofErr w:type="spellStart"/>
      <w:r w:rsidRPr="0060280C">
        <w:rPr>
          <w:shd w:val="clear" w:color="auto" w:fill="FFFFFF"/>
        </w:rPr>
        <w:t>uslijed</w:t>
      </w:r>
      <w:proofErr w:type="spellEnd"/>
      <w:r w:rsidRPr="0060280C">
        <w:rPr>
          <w:shd w:val="clear" w:color="auto" w:fill="FFFFFF"/>
        </w:rPr>
        <w:t xml:space="preserve"> </w:t>
      </w:r>
      <w:proofErr w:type="spellStart"/>
      <w:r w:rsidRPr="0060280C">
        <w:rPr>
          <w:shd w:val="clear" w:color="auto" w:fill="FFFFFF"/>
        </w:rPr>
        <w:t>opterećenja</w:t>
      </w:r>
      <w:proofErr w:type="spellEnd"/>
      <w:r w:rsidRPr="0060280C">
        <w:rPr>
          <w:shd w:val="clear" w:color="auto" w:fill="FFFFFF"/>
        </w:rPr>
        <w:t xml:space="preserve"> </w:t>
      </w:r>
      <w:proofErr w:type="spellStart"/>
      <w:r w:rsidRPr="0060280C">
        <w:rPr>
          <w:shd w:val="clear" w:color="auto" w:fill="FFFFFF"/>
        </w:rPr>
        <w:t>došlo</w:t>
      </w:r>
      <w:proofErr w:type="spellEnd"/>
      <w:r w:rsidRPr="0060280C">
        <w:rPr>
          <w:shd w:val="clear" w:color="auto" w:fill="FFFFFF"/>
        </w:rPr>
        <w:t xml:space="preserve"> do </w:t>
      </w:r>
      <w:proofErr w:type="spellStart"/>
      <w:r w:rsidRPr="0060280C">
        <w:rPr>
          <w:shd w:val="clear" w:color="auto" w:fill="FFFFFF"/>
        </w:rPr>
        <w:t>prisilnog</w:t>
      </w:r>
      <w:proofErr w:type="spellEnd"/>
      <w:r w:rsidRPr="0060280C">
        <w:rPr>
          <w:shd w:val="clear" w:color="auto" w:fill="FFFFFF"/>
        </w:rPr>
        <w:t xml:space="preserve"> </w:t>
      </w:r>
      <w:proofErr w:type="spellStart"/>
      <w:r w:rsidRPr="0060280C">
        <w:rPr>
          <w:shd w:val="clear" w:color="auto" w:fill="FFFFFF"/>
        </w:rPr>
        <w:t>smanjivanja</w:t>
      </w:r>
      <w:proofErr w:type="spellEnd"/>
      <w:r w:rsidRPr="0060280C">
        <w:rPr>
          <w:shd w:val="clear" w:color="auto" w:fill="FFFFFF"/>
        </w:rPr>
        <w:t xml:space="preserve"> </w:t>
      </w:r>
      <w:proofErr w:type="spellStart"/>
      <w:r w:rsidRPr="0060280C">
        <w:rPr>
          <w:shd w:val="clear" w:color="auto" w:fill="FFFFFF"/>
        </w:rPr>
        <w:t>broja</w:t>
      </w:r>
      <w:proofErr w:type="spellEnd"/>
      <w:r w:rsidRPr="0060280C">
        <w:rPr>
          <w:shd w:val="clear" w:color="auto" w:fill="FFFFFF"/>
        </w:rPr>
        <w:t xml:space="preserve"> </w:t>
      </w:r>
      <w:proofErr w:type="spellStart"/>
      <w:r w:rsidRPr="0060280C">
        <w:rPr>
          <w:shd w:val="clear" w:color="auto" w:fill="FFFFFF"/>
        </w:rPr>
        <w:t>zaposlenih</w:t>
      </w:r>
      <w:proofErr w:type="spellEnd"/>
      <w:r w:rsidRPr="0060280C">
        <w:rPr>
          <w:shd w:val="clear" w:color="auto" w:fill="FFFFFF"/>
        </w:rPr>
        <w:t>.</w:t>
      </w:r>
      <w:proofErr w:type="gramEnd"/>
      <w:r w:rsidRPr="0060280C">
        <w:rPr>
          <w:shd w:val="clear" w:color="auto" w:fill="FFFFFF"/>
        </w:rPr>
        <w:t xml:space="preserve"> </w:t>
      </w:r>
      <w:proofErr w:type="spellStart"/>
      <w:r w:rsidRPr="0060280C">
        <w:rPr>
          <w:shd w:val="clear" w:color="auto" w:fill="FFFFFF"/>
        </w:rPr>
        <w:t>Negativne</w:t>
      </w:r>
      <w:proofErr w:type="spellEnd"/>
      <w:r w:rsidRPr="0060280C">
        <w:rPr>
          <w:shd w:val="clear" w:color="auto" w:fill="FFFFFF"/>
        </w:rPr>
        <w:t xml:space="preserve"> </w:t>
      </w:r>
      <w:proofErr w:type="spellStart"/>
      <w:r w:rsidRPr="0060280C">
        <w:rPr>
          <w:shd w:val="clear" w:color="auto" w:fill="FFFFFF"/>
        </w:rPr>
        <w:t>ekonomske</w:t>
      </w:r>
      <w:proofErr w:type="spellEnd"/>
      <w:r w:rsidRPr="0060280C">
        <w:rPr>
          <w:shd w:val="clear" w:color="auto" w:fill="FFFFFF"/>
        </w:rPr>
        <w:t xml:space="preserve"> </w:t>
      </w:r>
      <w:proofErr w:type="spellStart"/>
      <w:r w:rsidRPr="0060280C">
        <w:rPr>
          <w:shd w:val="clear" w:color="auto" w:fill="FFFFFF"/>
        </w:rPr>
        <w:t>posljedice</w:t>
      </w:r>
      <w:proofErr w:type="spellEnd"/>
      <w:r w:rsidRPr="0060280C">
        <w:rPr>
          <w:shd w:val="clear" w:color="auto" w:fill="FFFFFF"/>
        </w:rPr>
        <w:t xml:space="preserve"> </w:t>
      </w:r>
      <w:proofErr w:type="spellStart"/>
      <w:r w:rsidRPr="0060280C">
        <w:rPr>
          <w:shd w:val="clear" w:color="auto" w:fill="FFFFFF"/>
        </w:rPr>
        <w:t>ogledaju</w:t>
      </w:r>
      <w:proofErr w:type="spellEnd"/>
      <w:r w:rsidRPr="0060280C">
        <w:rPr>
          <w:shd w:val="clear" w:color="auto" w:fill="FFFFFF"/>
        </w:rPr>
        <w:t xml:space="preserve"> se</w:t>
      </w:r>
      <w:r w:rsidR="001A4B62">
        <w:rPr>
          <w:shd w:val="clear" w:color="auto" w:fill="FFFFFF"/>
        </w:rPr>
        <w:t xml:space="preserve"> </w:t>
      </w:r>
      <w:r w:rsidRPr="0060280C">
        <w:rPr>
          <w:shd w:val="clear" w:color="auto" w:fill="FFFFFF"/>
        </w:rPr>
        <w:t xml:space="preserve">u </w:t>
      </w:r>
      <w:proofErr w:type="spellStart"/>
      <w:r w:rsidRPr="0060280C">
        <w:rPr>
          <w:shd w:val="clear" w:color="auto" w:fill="FFFFFF"/>
        </w:rPr>
        <w:t>povećanju</w:t>
      </w:r>
      <w:proofErr w:type="spellEnd"/>
      <w:r w:rsidRPr="0060280C">
        <w:rPr>
          <w:shd w:val="clear" w:color="auto" w:fill="FFFFFF"/>
        </w:rPr>
        <w:t xml:space="preserve"> </w:t>
      </w:r>
      <w:proofErr w:type="spellStart"/>
      <w:r w:rsidRPr="0060280C">
        <w:rPr>
          <w:shd w:val="clear" w:color="auto" w:fill="FFFFFF"/>
        </w:rPr>
        <w:t>nezaposlenosti</w:t>
      </w:r>
      <w:proofErr w:type="spellEnd"/>
      <w:r w:rsidRPr="0060280C">
        <w:rPr>
          <w:shd w:val="clear" w:color="auto" w:fill="FFFFFF"/>
        </w:rPr>
        <w:t xml:space="preserve">, </w:t>
      </w:r>
      <w:proofErr w:type="spellStart"/>
      <w:r w:rsidRPr="0060280C">
        <w:rPr>
          <w:shd w:val="clear" w:color="auto" w:fill="FFFFFF"/>
        </w:rPr>
        <w:t>smanjenju</w:t>
      </w:r>
      <w:proofErr w:type="spellEnd"/>
      <w:r w:rsidRPr="0060280C">
        <w:rPr>
          <w:shd w:val="clear" w:color="auto" w:fill="FFFFFF"/>
        </w:rPr>
        <w:t xml:space="preserve"> </w:t>
      </w:r>
      <w:proofErr w:type="spellStart"/>
      <w:r w:rsidRPr="0060280C">
        <w:rPr>
          <w:shd w:val="clear" w:color="auto" w:fill="FFFFFF"/>
        </w:rPr>
        <w:t>plaća</w:t>
      </w:r>
      <w:proofErr w:type="spellEnd"/>
      <w:r w:rsidRPr="0060280C">
        <w:rPr>
          <w:shd w:val="clear" w:color="auto" w:fill="FFFFFF"/>
        </w:rPr>
        <w:t xml:space="preserve">, </w:t>
      </w:r>
      <w:proofErr w:type="spellStart"/>
      <w:r w:rsidRPr="0060280C">
        <w:rPr>
          <w:shd w:val="clear" w:color="auto" w:fill="FFFFFF"/>
        </w:rPr>
        <w:t>povećanim</w:t>
      </w:r>
      <w:proofErr w:type="spellEnd"/>
      <w:r w:rsidRPr="0060280C">
        <w:rPr>
          <w:shd w:val="clear" w:color="auto" w:fill="FFFFFF"/>
        </w:rPr>
        <w:t xml:space="preserve"> </w:t>
      </w:r>
      <w:proofErr w:type="spellStart"/>
      <w:r w:rsidRPr="0060280C">
        <w:rPr>
          <w:shd w:val="clear" w:color="auto" w:fill="FFFFFF"/>
        </w:rPr>
        <w:t>problemima</w:t>
      </w:r>
      <w:proofErr w:type="spellEnd"/>
      <w:r w:rsidRPr="0060280C">
        <w:rPr>
          <w:shd w:val="clear" w:color="auto" w:fill="FFFFFF"/>
        </w:rPr>
        <w:t xml:space="preserve"> u </w:t>
      </w:r>
      <w:proofErr w:type="spellStart"/>
      <w:r w:rsidRPr="0060280C">
        <w:rPr>
          <w:shd w:val="clear" w:color="auto" w:fill="FFFFFF"/>
        </w:rPr>
        <w:t>otplati</w:t>
      </w:r>
      <w:proofErr w:type="spellEnd"/>
      <w:r w:rsidRPr="0060280C">
        <w:rPr>
          <w:shd w:val="clear" w:color="auto" w:fill="FFFFFF"/>
        </w:rPr>
        <w:t xml:space="preserve"> </w:t>
      </w:r>
      <w:proofErr w:type="spellStart"/>
      <w:r w:rsidRPr="0060280C">
        <w:rPr>
          <w:shd w:val="clear" w:color="auto" w:fill="FFFFFF"/>
        </w:rPr>
        <w:t>dugova</w:t>
      </w:r>
      <w:proofErr w:type="spellEnd"/>
      <w:r w:rsidRPr="0060280C">
        <w:rPr>
          <w:shd w:val="clear" w:color="auto" w:fill="FFFFFF"/>
        </w:rPr>
        <w:t xml:space="preserve">, </w:t>
      </w:r>
      <w:proofErr w:type="spellStart"/>
      <w:r w:rsidRPr="0060280C">
        <w:rPr>
          <w:shd w:val="clear" w:color="auto" w:fill="FFFFFF"/>
        </w:rPr>
        <w:t>smanjenju</w:t>
      </w:r>
      <w:proofErr w:type="spellEnd"/>
      <w:r w:rsidRPr="0060280C">
        <w:rPr>
          <w:shd w:val="clear" w:color="auto" w:fill="FFFFFF"/>
        </w:rPr>
        <w:t xml:space="preserve"> </w:t>
      </w:r>
      <w:proofErr w:type="spellStart"/>
      <w:r w:rsidRPr="0060280C">
        <w:rPr>
          <w:shd w:val="clear" w:color="auto" w:fill="FFFFFF"/>
        </w:rPr>
        <w:t>izvoza</w:t>
      </w:r>
      <w:proofErr w:type="spellEnd"/>
      <w:r w:rsidRPr="0060280C">
        <w:rPr>
          <w:shd w:val="clear" w:color="auto" w:fill="FFFFFF"/>
        </w:rPr>
        <w:t xml:space="preserve">, </w:t>
      </w:r>
      <w:proofErr w:type="spellStart"/>
      <w:r w:rsidRPr="0060280C">
        <w:rPr>
          <w:shd w:val="clear" w:color="auto" w:fill="FFFFFF"/>
        </w:rPr>
        <w:t>investicija</w:t>
      </w:r>
      <w:proofErr w:type="spellEnd"/>
      <w:r w:rsidRPr="0060280C">
        <w:rPr>
          <w:shd w:val="clear" w:color="auto" w:fill="FFFFFF"/>
        </w:rPr>
        <w:t xml:space="preserve">, </w:t>
      </w:r>
      <w:proofErr w:type="spellStart"/>
      <w:r w:rsidRPr="0060280C">
        <w:rPr>
          <w:shd w:val="clear" w:color="auto" w:fill="FFFFFF"/>
        </w:rPr>
        <w:t>opsega</w:t>
      </w:r>
      <w:proofErr w:type="spellEnd"/>
      <w:r w:rsidRPr="0060280C">
        <w:rPr>
          <w:shd w:val="clear" w:color="auto" w:fill="FFFFFF"/>
        </w:rPr>
        <w:t xml:space="preserve"> </w:t>
      </w:r>
      <w:proofErr w:type="spellStart"/>
      <w:r w:rsidRPr="0060280C">
        <w:rPr>
          <w:shd w:val="clear" w:color="auto" w:fill="FFFFFF"/>
        </w:rPr>
        <w:t>proizvodnje</w:t>
      </w:r>
      <w:proofErr w:type="spellEnd"/>
      <w:r w:rsidRPr="0060280C">
        <w:rPr>
          <w:shd w:val="clear" w:color="auto" w:fill="FFFFFF"/>
        </w:rPr>
        <w:t xml:space="preserve">, </w:t>
      </w:r>
      <w:proofErr w:type="spellStart"/>
      <w:proofErr w:type="gramStart"/>
      <w:r w:rsidRPr="0060280C">
        <w:rPr>
          <w:shd w:val="clear" w:color="auto" w:fill="FFFFFF"/>
        </w:rPr>
        <w:t>te</w:t>
      </w:r>
      <w:proofErr w:type="spellEnd"/>
      <w:proofErr w:type="gramEnd"/>
      <w:r w:rsidRPr="0060280C">
        <w:rPr>
          <w:shd w:val="clear" w:color="auto" w:fill="FFFFFF"/>
        </w:rPr>
        <w:t xml:space="preserve"> </w:t>
      </w:r>
      <w:proofErr w:type="spellStart"/>
      <w:r w:rsidRPr="0060280C">
        <w:rPr>
          <w:shd w:val="clear" w:color="auto" w:fill="FFFFFF"/>
        </w:rPr>
        <w:t>neizbježno</w:t>
      </w:r>
      <w:proofErr w:type="spellEnd"/>
      <w:r w:rsidRPr="0060280C">
        <w:rPr>
          <w:shd w:val="clear" w:color="auto" w:fill="FFFFFF"/>
        </w:rPr>
        <w:t xml:space="preserve"> </w:t>
      </w:r>
      <w:proofErr w:type="spellStart"/>
      <w:r w:rsidRPr="0060280C">
        <w:rPr>
          <w:shd w:val="clear" w:color="auto" w:fill="FFFFFF"/>
        </w:rPr>
        <w:t>padu</w:t>
      </w:r>
      <w:proofErr w:type="spellEnd"/>
      <w:r w:rsidRPr="0060280C">
        <w:rPr>
          <w:shd w:val="clear" w:color="auto" w:fill="FFFFFF"/>
        </w:rPr>
        <w:t xml:space="preserve"> </w:t>
      </w:r>
      <w:proofErr w:type="spellStart"/>
      <w:r w:rsidRPr="0060280C">
        <w:rPr>
          <w:shd w:val="clear" w:color="auto" w:fill="FFFFFF"/>
        </w:rPr>
        <w:t>prihoda</w:t>
      </w:r>
      <w:proofErr w:type="spellEnd"/>
      <w:r w:rsidRPr="0060280C">
        <w:rPr>
          <w:shd w:val="clear" w:color="auto" w:fill="FFFFFF"/>
        </w:rPr>
        <w:t xml:space="preserve"> </w:t>
      </w:r>
      <w:proofErr w:type="spellStart"/>
      <w:r w:rsidRPr="0060280C">
        <w:rPr>
          <w:shd w:val="clear" w:color="auto" w:fill="FFFFFF"/>
        </w:rPr>
        <w:t>na</w:t>
      </w:r>
      <w:proofErr w:type="spellEnd"/>
      <w:r w:rsidRPr="0060280C">
        <w:rPr>
          <w:shd w:val="clear" w:color="auto" w:fill="FFFFFF"/>
        </w:rPr>
        <w:t xml:space="preserve"> </w:t>
      </w:r>
      <w:proofErr w:type="spellStart"/>
      <w:r w:rsidRPr="0060280C">
        <w:rPr>
          <w:shd w:val="clear" w:color="auto" w:fill="FFFFFF"/>
        </w:rPr>
        <w:t>svim</w:t>
      </w:r>
      <w:proofErr w:type="spellEnd"/>
      <w:r w:rsidRPr="0060280C">
        <w:rPr>
          <w:shd w:val="clear" w:color="auto" w:fill="FFFFFF"/>
        </w:rPr>
        <w:t xml:space="preserve"> </w:t>
      </w:r>
      <w:proofErr w:type="spellStart"/>
      <w:r w:rsidRPr="0060280C">
        <w:rPr>
          <w:shd w:val="clear" w:color="auto" w:fill="FFFFFF"/>
        </w:rPr>
        <w:t>razinama</w:t>
      </w:r>
      <w:proofErr w:type="spellEnd"/>
      <w:r w:rsidRPr="0060280C">
        <w:rPr>
          <w:shd w:val="clear" w:color="auto" w:fill="FFFFFF"/>
        </w:rPr>
        <w:t xml:space="preserve"> </w:t>
      </w:r>
      <w:proofErr w:type="spellStart"/>
      <w:r w:rsidRPr="0060280C">
        <w:rPr>
          <w:shd w:val="clear" w:color="auto" w:fill="FFFFFF"/>
        </w:rPr>
        <w:t>uslijed</w:t>
      </w:r>
      <w:proofErr w:type="spellEnd"/>
      <w:r w:rsidRPr="0060280C">
        <w:rPr>
          <w:shd w:val="clear" w:color="auto" w:fill="FFFFFF"/>
        </w:rPr>
        <w:t xml:space="preserve"> </w:t>
      </w:r>
      <w:proofErr w:type="spellStart"/>
      <w:r w:rsidRPr="0060280C">
        <w:rPr>
          <w:shd w:val="clear" w:color="auto" w:fill="FFFFFF"/>
        </w:rPr>
        <w:t>smanjenja</w:t>
      </w:r>
      <w:proofErr w:type="spellEnd"/>
      <w:r w:rsidRPr="0060280C">
        <w:rPr>
          <w:shd w:val="clear" w:color="auto" w:fill="FFFFFF"/>
        </w:rPr>
        <w:t xml:space="preserve"> </w:t>
      </w:r>
      <w:proofErr w:type="spellStart"/>
      <w:r w:rsidRPr="0060280C">
        <w:rPr>
          <w:shd w:val="clear" w:color="auto" w:fill="FFFFFF"/>
        </w:rPr>
        <w:t>potrošnje</w:t>
      </w:r>
      <w:proofErr w:type="spellEnd"/>
      <w:r w:rsidRPr="0060280C">
        <w:rPr>
          <w:shd w:val="clear" w:color="auto" w:fill="FFFFFF"/>
        </w:rPr>
        <w:t>.</w:t>
      </w:r>
    </w:p>
    <w:p w:rsidR="0060280C" w:rsidRDefault="0060280C">
      <w:pPr>
        <w:jc w:val="both"/>
      </w:pPr>
    </w:p>
    <w:p w:rsidR="0060280C" w:rsidRDefault="0060280C" w:rsidP="0060280C">
      <w:pPr>
        <w:ind w:firstLine="720"/>
        <w:jc w:val="both"/>
      </w:pPr>
      <w:proofErr w:type="spellStart"/>
      <w:r>
        <w:t>Ekonomske</w:t>
      </w:r>
      <w:proofErr w:type="spellEnd"/>
      <w:r>
        <w:t xml:space="preserve"> </w:t>
      </w:r>
      <w:proofErr w:type="spellStart"/>
      <w:r>
        <w:t>posljedice</w:t>
      </w:r>
      <w:proofErr w:type="spellEnd"/>
      <w:r>
        <w:t xml:space="preserve"> </w:t>
      </w:r>
      <w:proofErr w:type="spellStart"/>
      <w:r>
        <w:t>pandemije</w:t>
      </w:r>
      <w:proofErr w:type="spellEnd"/>
      <w:r>
        <w:t xml:space="preserve"> </w:t>
      </w:r>
      <w:proofErr w:type="spellStart"/>
      <w:r>
        <w:t>koronavirusa</w:t>
      </w:r>
      <w:proofErr w:type="spellEnd"/>
      <w:r>
        <w:t xml:space="preserve"> </w:t>
      </w:r>
      <w:proofErr w:type="spellStart"/>
      <w:r>
        <w:t>su</w:t>
      </w:r>
      <w:proofErr w:type="spellEnd"/>
      <w:r>
        <w:t xml:space="preserve"> </w:t>
      </w:r>
      <w:proofErr w:type="spellStart"/>
      <w:r>
        <w:t>takve</w:t>
      </w:r>
      <w:proofErr w:type="spellEnd"/>
      <w:r>
        <w:t xml:space="preserve"> </w:t>
      </w:r>
      <w:proofErr w:type="spellStart"/>
      <w:r>
        <w:t>da</w:t>
      </w:r>
      <w:proofErr w:type="spellEnd"/>
      <w:r>
        <w:t xml:space="preserve"> </w:t>
      </w:r>
      <w:proofErr w:type="spellStart"/>
      <w:proofErr w:type="gramStart"/>
      <w:r>
        <w:t>će</w:t>
      </w:r>
      <w:proofErr w:type="spellEnd"/>
      <w:proofErr w:type="gramEnd"/>
      <w:r>
        <w:t xml:space="preserve"> </w:t>
      </w:r>
      <w:proofErr w:type="spellStart"/>
      <w:r>
        <w:t>trebati</w:t>
      </w:r>
      <w:proofErr w:type="spellEnd"/>
      <w:r>
        <w:t xml:space="preserve"> </w:t>
      </w:r>
      <w:proofErr w:type="spellStart"/>
      <w:r>
        <w:t>godine</w:t>
      </w:r>
      <w:proofErr w:type="spellEnd"/>
      <w:r>
        <w:t xml:space="preserve"> </w:t>
      </w:r>
      <w:proofErr w:type="spellStart"/>
      <w:r>
        <w:t>za</w:t>
      </w:r>
      <w:proofErr w:type="spellEnd"/>
      <w:r>
        <w:t xml:space="preserve"> </w:t>
      </w:r>
      <w:proofErr w:type="spellStart"/>
      <w:r>
        <w:t>oporavak</w:t>
      </w:r>
      <w:proofErr w:type="spellEnd"/>
      <w:r>
        <w:t xml:space="preserve"> </w:t>
      </w:r>
      <w:proofErr w:type="spellStart"/>
      <w:r>
        <w:t>svjetskog</w:t>
      </w:r>
      <w:proofErr w:type="spellEnd"/>
      <w:r>
        <w:t xml:space="preserve"> </w:t>
      </w:r>
      <w:proofErr w:type="spellStart"/>
      <w:r>
        <w:t>gospodarstva</w:t>
      </w:r>
      <w:proofErr w:type="spellEnd"/>
      <w:r>
        <w:t xml:space="preserve">. </w:t>
      </w:r>
      <w:proofErr w:type="spellStart"/>
      <w:r>
        <w:t>Nakon</w:t>
      </w:r>
      <w:proofErr w:type="spellEnd"/>
      <w:r>
        <w:t xml:space="preserve"> </w:t>
      </w:r>
      <w:proofErr w:type="spellStart"/>
      <w:r>
        <w:t>pojave</w:t>
      </w:r>
      <w:proofErr w:type="spellEnd"/>
      <w:r>
        <w:t xml:space="preserve"> </w:t>
      </w:r>
      <w:proofErr w:type="spellStart"/>
      <w:r>
        <w:t>pandemije</w:t>
      </w:r>
      <w:proofErr w:type="spellEnd"/>
      <w:r w:rsidR="001A4B62">
        <w:t>,</w:t>
      </w:r>
      <w:r>
        <w:t xml:space="preserve"> </w:t>
      </w:r>
      <w:proofErr w:type="spellStart"/>
      <w:r>
        <w:t>Europska</w:t>
      </w:r>
      <w:proofErr w:type="spellEnd"/>
      <w:r>
        <w:t xml:space="preserve"> </w:t>
      </w:r>
      <w:proofErr w:type="spellStart"/>
      <w:r>
        <w:t>komisija</w:t>
      </w:r>
      <w:proofErr w:type="spellEnd"/>
      <w:r>
        <w:t xml:space="preserve"> (EK) </w:t>
      </w:r>
      <w:proofErr w:type="spellStart"/>
      <w:r>
        <w:t>i</w:t>
      </w:r>
      <w:proofErr w:type="spellEnd"/>
      <w:r>
        <w:t xml:space="preserve"> </w:t>
      </w:r>
      <w:proofErr w:type="spellStart"/>
      <w:r>
        <w:t>Međunarodni</w:t>
      </w:r>
      <w:proofErr w:type="spellEnd"/>
      <w:r>
        <w:t xml:space="preserve"> </w:t>
      </w:r>
      <w:proofErr w:type="spellStart"/>
      <w:r>
        <w:t>monetarni</w:t>
      </w:r>
      <w:proofErr w:type="spellEnd"/>
      <w:r>
        <w:t xml:space="preserve"> fond (MMF) </w:t>
      </w:r>
      <w:proofErr w:type="spellStart"/>
      <w:r>
        <w:t>kontinuirano</w:t>
      </w:r>
      <w:proofErr w:type="spellEnd"/>
      <w:r>
        <w:t xml:space="preserve"> </w:t>
      </w:r>
      <w:proofErr w:type="spellStart"/>
      <w:r>
        <w:t>revidiraju</w:t>
      </w:r>
      <w:proofErr w:type="spellEnd"/>
      <w:r>
        <w:t xml:space="preserve"> </w:t>
      </w:r>
      <w:proofErr w:type="spellStart"/>
      <w:r>
        <w:t>svoje</w:t>
      </w:r>
      <w:proofErr w:type="spellEnd"/>
      <w:r>
        <w:t xml:space="preserve"> </w:t>
      </w:r>
      <w:proofErr w:type="spellStart"/>
      <w:r>
        <w:t>projekcije</w:t>
      </w:r>
      <w:proofErr w:type="spellEnd"/>
      <w:r>
        <w:t xml:space="preserve"> </w:t>
      </w:r>
      <w:proofErr w:type="spellStart"/>
      <w:proofErr w:type="gramStart"/>
      <w:r>
        <w:t>rasta</w:t>
      </w:r>
      <w:proofErr w:type="spellEnd"/>
      <w:proofErr w:type="gramEnd"/>
      <w:r>
        <w:t xml:space="preserve"> </w:t>
      </w:r>
      <w:proofErr w:type="spellStart"/>
      <w:r>
        <w:t>ekonomije</w:t>
      </w:r>
      <w:proofErr w:type="spellEnd"/>
      <w:r>
        <w:t xml:space="preserve">, a u </w:t>
      </w:r>
      <w:proofErr w:type="spellStart"/>
      <w:r>
        <w:t>svojim</w:t>
      </w:r>
      <w:proofErr w:type="spellEnd"/>
      <w:r>
        <w:t xml:space="preserve"> </w:t>
      </w:r>
      <w:proofErr w:type="spellStart"/>
      <w:r>
        <w:t>posljednjim</w:t>
      </w:r>
      <w:proofErr w:type="spellEnd"/>
      <w:r>
        <w:t xml:space="preserve"> </w:t>
      </w:r>
      <w:proofErr w:type="spellStart"/>
      <w:r>
        <w:t>objavama</w:t>
      </w:r>
      <w:proofErr w:type="spellEnd"/>
      <w:r>
        <w:t xml:space="preserve"> </w:t>
      </w:r>
      <w:proofErr w:type="spellStart"/>
      <w:r>
        <w:t>procjenjuju</w:t>
      </w:r>
      <w:proofErr w:type="spellEnd"/>
      <w:r>
        <w:t xml:space="preserve"> </w:t>
      </w:r>
      <w:proofErr w:type="spellStart"/>
      <w:r>
        <w:t>značajan</w:t>
      </w:r>
      <w:proofErr w:type="spellEnd"/>
      <w:r>
        <w:t xml:space="preserve"> pad </w:t>
      </w:r>
      <w:proofErr w:type="spellStart"/>
      <w:r>
        <w:t>ekonomske</w:t>
      </w:r>
      <w:proofErr w:type="spellEnd"/>
      <w:r>
        <w:t xml:space="preserve"> </w:t>
      </w:r>
      <w:proofErr w:type="spellStart"/>
      <w:r>
        <w:t>aktivnosti</w:t>
      </w:r>
      <w:proofErr w:type="spellEnd"/>
      <w:r>
        <w:t xml:space="preserve"> u 2020. </w:t>
      </w:r>
      <w:proofErr w:type="spellStart"/>
      <w:proofErr w:type="gramStart"/>
      <w:r>
        <w:t>godini</w:t>
      </w:r>
      <w:proofErr w:type="spellEnd"/>
      <w:proofErr w:type="gramEnd"/>
      <w:r>
        <w:t xml:space="preserve">. </w:t>
      </w:r>
      <w:proofErr w:type="gramStart"/>
      <w:r>
        <w:t xml:space="preserve">U </w:t>
      </w:r>
      <w:proofErr w:type="spellStart"/>
      <w:r>
        <w:t>izvještaju</w:t>
      </w:r>
      <w:proofErr w:type="spellEnd"/>
      <w:r>
        <w:t xml:space="preserve"> EK </w:t>
      </w:r>
      <w:proofErr w:type="spellStart"/>
      <w:r>
        <w:t>iz</w:t>
      </w:r>
      <w:proofErr w:type="spellEnd"/>
      <w:r>
        <w:t xml:space="preserve"> </w:t>
      </w:r>
      <w:proofErr w:type="spellStart"/>
      <w:r>
        <w:t>srpnja</w:t>
      </w:r>
      <w:proofErr w:type="spellEnd"/>
      <w:r>
        <w:t xml:space="preserve"> 2020.</w:t>
      </w:r>
      <w:proofErr w:type="gramEnd"/>
      <w:r>
        <w:t xml:space="preserve"> </w:t>
      </w:r>
      <w:proofErr w:type="spellStart"/>
      <w:proofErr w:type="gramStart"/>
      <w:r>
        <w:t>godine</w:t>
      </w:r>
      <w:proofErr w:type="spellEnd"/>
      <w:proofErr w:type="gramEnd"/>
      <w:r>
        <w:t xml:space="preserve"> se </w:t>
      </w:r>
      <w:proofErr w:type="spellStart"/>
      <w:r>
        <w:t>navodi</w:t>
      </w:r>
      <w:proofErr w:type="spellEnd"/>
      <w:r>
        <w:t xml:space="preserve"> </w:t>
      </w:r>
      <w:proofErr w:type="spellStart"/>
      <w:r>
        <w:t>da</w:t>
      </w:r>
      <w:proofErr w:type="spellEnd"/>
      <w:r>
        <w:t xml:space="preserve"> se </w:t>
      </w:r>
      <w:proofErr w:type="spellStart"/>
      <w:r>
        <w:t>Europska</w:t>
      </w:r>
      <w:proofErr w:type="spellEnd"/>
      <w:r>
        <w:t xml:space="preserve"> </w:t>
      </w:r>
      <w:proofErr w:type="spellStart"/>
      <w:r>
        <w:t>unija</w:t>
      </w:r>
      <w:proofErr w:type="spellEnd"/>
      <w:r>
        <w:t xml:space="preserve"> </w:t>
      </w:r>
      <w:proofErr w:type="spellStart"/>
      <w:r>
        <w:t>suočava</w:t>
      </w:r>
      <w:proofErr w:type="spellEnd"/>
      <w:r>
        <w:t xml:space="preserve"> s </w:t>
      </w:r>
      <w:proofErr w:type="spellStart"/>
      <w:r>
        <w:t>najdubljom</w:t>
      </w:r>
      <w:proofErr w:type="spellEnd"/>
      <w:r>
        <w:t xml:space="preserve"> </w:t>
      </w:r>
      <w:proofErr w:type="spellStart"/>
      <w:r>
        <w:t>recesijom</w:t>
      </w:r>
      <w:proofErr w:type="spellEnd"/>
      <w:r>
        <w:t xml:space="preserve"> </w:t>
      </w:r>
      <w:proofErr w:type="spellStart"/>
      <w:r>
        <w:t>nakon</w:t>
      </w:r>
      <w:proofErr w:type="spellEnd"/>
      <w:r>
        <w:t xml:space="preserve"> </w:t>
      </w:r>
      <w:proofErr w:type="spellStart"/>
      <w:r>
        <w:t>Drugog</w:t>
      </w:r>
      <w:proofErr w:type="spellEnd"/>
      <w:r>
        <w:t xml:space="preserve"> </w:t>
      </w:r>
      <w:proofErr w:type="spellStart"/>
      <w:r>
        <w:t>svjetskog</w:t>
      </w:r>
      <w:proofErr w:type="spellEnd"/>
      <w:r>
        <w:t xml:space="preserve"> rata. U </w:t>
      </w:r>
      <w:proofErr w:type="spellStart"/>
      <w:r>
        <w:t>navedenom</w:t>
      </w:r>
      <w:proofErr w:type="spellEnd"/>
      <w:r>
        <w:t xml:space="preserve"> </w:t>
      </w:r>
      <w:proofErr w:type="spellStart"/>
      <w:r>
        <w:t>Izvještaju</w:t>
      </w:r>
      <w:proofErr w:type="spellEnd"/>
      <w:r>
        <w:t xml:space="preserve"> se </w:t>
      </w:r>
      <w:proofErr w:type="spellStart"/>
      <w:r>
        <w:t>procjenjuje</w:t>
      </w:r>
      <w:proofErr w:type="spellEnd"/>
      <w:r>
        <w:t xml:space="preserve"> </w:t>
      </w:r>
      <w:proofErr w:type="spellStart"/>
      <w:r>
        <w:t>realni</w:t>
      </w:r>
      <w:proofErr w:type="spellEnd"/>
      <w:r>
        <w:t xml:space="preserve"> pad BDP-a </w:t>
      </w:r>
      <w:proofErr w:type="spellStart"/>
      <w:r>
        <w:t>od</w:t>
      </w:r>
      <w:proofErr w:type="spellEnd"/>
      <w:r>
        <w:t xml:space="preserve"> 8</w:t>
      </w:r>
      <w:proofErr w:type="gramStart"/>
      <w:r>
        <w:t>,7</w:t>
      </w:r>
      <w:proofErr w:type="gramEnd"/>
      <w:r>
        <w:t xml:space="preserve">% </w:t>
      </w:r>
      <w:proofErr w:type="spellStart"/>
      <w:r>
        <w:t>za</w:t>
      </w:r>
      <w:proofErr w:type="spellEnd"/>
      <w:r>
        <w:t xml:space="preserve"> 2020. </w:t>
      </w:r>
      <w:proofErr w:type="spellStart"/>
      <w:proofErr w:type="gramStart"/>
      <w:r>
        <w:t>godini</w:t>
      </w:r>
      <w:proofErr w:type="spellEnd"/>
      <w:proofErr w:type="gramEnd"/>
      <w:r>
        <w:t xml:space="preserve"> u </w:t>
      </w:r>
      <w:proofErr w:type="spellStart"/>
      <w:r>
        <w:t>Eurozoni</w:t>
      </w:r>
      <w:proofErr w:type="spellEnd"/>
      <w:r>
        <w:t xml:space="preserve">. </w:t>
      </w:r>
      <w:proofErr w:type="spellStart"/>
      <w:r>
        <w:t>Posljednja</w:t>
      </w:r>
      <w:proofErr w:type="spellEnd"/>
      <w:r>
        <w:t xml:space="preserve"> MMF-ova </w:t>
      </w:r>
      <w:proofErr w:type="spellStart"/>
      <w:r>
        <w:t>projekcija</w:t>
      </w:r>
      <w:proofErr w:type="spellEnd"/>
      <w:r>
        <w:t xml:space="preserve"> </w:t>
      </w:r>
      <w:proofErr w:type="spellStart"/>
      <w:r>
        <w:t>pada</w:t>
      </w:r>
      <w:proofErr w:type="spellEnd"/>
      <w:r>
        <w:t xml:space="preserve"> BDP-a u </w:t>
      </w:r>
      <w:proofErr w:type="spellStart"/>
      <w:r>
        <w:t>Eurozoni</w:t>
      </w:r>
      <w:proofErr w:type="spellEnd"/>
      <w:r>
        <w:t xml:space="preserve"> </w:t>
      </w:r>
      <w:proofErr w:type="spellStart"/>
      <w:r>
        <w:t>koja</w:t>
      </w:r>
      <w:proofErr w:type="spellEnd"/>
      <w:r>
        <w:t xml:space="preserve"> je </w:t>
      </w:r>
      <w:proofErr w:type="spellStart"/>
      <w:r>
        <w:t>objavljena</w:t>
      </w:r>
      <w:proofErr w:type="spellEnd"/>
      <w:r>
        <w:t xml:space="preserve"> u </w:t>
      </w:r>
      <w:proofErr w:type="spellStart"/>
      <w:r>
        <w:t>listopadu</w:t>
      </w:r>
      <w:proofErr w:type="spellEnd"/>
      <w:r>
        <w:t xml:space="preserve"> </w:t>
      </w:r>
      <w:proofErr w:type="spellStart"/>
      <w:r>
        <w:t>ove</w:t>
      </w:r>
      <w:proofErr w:type="spellEnd"/>
      <w:r>
        <w:t xml:space="preserve"> </w:t>
      </w:r>
      <w:proofErr w:type="spellStart"/>
      <w:r>
        <w:t>godine</w:t>
      </w:r>
      <w:proofErr w:type="spellEnd"/>
      <w:r>
        <w:t xml:space="preserve"> je </w:t>
      </w:r>
      <w:proofErr w:type="spellStart"/>
      <w:r>
        <w:t>nešto</w:t>
      </w:r>
      <w:proofErr w:type="spellEnd"/>
      <w:r>
        <w:t xml:space="preserve"> </w:t>
      </w:r>
      <w:proofErr w:type="spellStart"/>
      <w:r>
        <w:t>niža</w:t>
      </w:r>
      <w:proofErr w:type="spellEnd"/>
      <w:r>
        <w:t xml:space="preserve"> </w:t>
      </w:r>
      <w:proofErr w:type="spellStart"/>
      <w:r>
        <w:t>i</w:t>
      </w:r>
      <w:proofErr w:type="spellEnd"/>
      <w:r>
        <w:t xml:space="preserve"> </w:t>
      </w:r>
      <w:proofErr w:type="spellStart"/>
      <w:r>
        <w:t>iznosi</w:t>
      </w:r>
      <w:proofErr w:type="spellEnd"/>
      <w:r>
        <w:t xml:space="preserve"> 8</w:t>
      </w:r>
      <w:proofErr w:type="gramStart"/>
      <w:r>
        <w:t>,3</w:t>
      </w:r>
      <w:proofErr w:type="gramEnd"/>
      <w:r>
        <w:t xml:space="preserve">%. </w:t>
      </w:r>
    </w:p>
    <w:p w:rsidR="0060280C" w:rsidRDefault="0060280C">
      <w:pPr>
        <w:jc w:val="both"/>
      </w:pPr>
    </w:p>
    <w:p w:rsidR="0060280C" w:rsidRDefault="0060280C" w:rsidP="0060280C">
      <w:pPr>
        <w:ind w:firstLine="720"/>
        <w:jc w:val="both"/>
      </w:pPr>
      <w:proofErr w:type="spellStart"/>
      <w:r>
        <w:t>Direkcija</w:t>
      </w:r>
      <w:proofErr w:type="spellEnd"/>
      <w:r>
        <w:t xml:space="preserve"> </w:t>
      </w:r>
      <w:proofErr w:type="spellStart"/>
      <w:r>
        <w:t>za</w:t>
      </w:r>
      <w:proofErr w:type="spellEnd"/>
      <w:r>
        <w:t xml:space="preserve"> </w:t>
      </w:r>
      <w:proofErr w:type="spellStart"/>
      <w:r>
        <w:t>ekonomsko</w:t>
      </w:r>
      <w:proofErr w:type="spellEnd"/>
      <w:r>
        <w:t xml:space="preserve"> </w:t>
      </w:r>
      <w:proofErr w:type="spellStart"/>
      <w:r>
        <w:t>planiranje</w:t>
      </w:r>
      <w:proofErr w:type="spellEnd"/>
      <w:r>
        <w:t xml:space="preserve"> (DEP) </w:t>
      </w:r>
      <w:proofErr w:type="spellStart"/>
      <w:r>
        <w:t>procjenjuje</w:t>
      </w:r>
      <w:proofErr w:type="spellEnd"/>
      <w:r>
        <w:t xml:space="preserve"> </w:t>
      </w:r>
      <w:proofErr w:type="spellStart"/>
      <w:r>
        <w:t>realni</w:t>
      </w:r>
      <w:proofErr w:type="spellEnd"/>
      <w:r>
        <w:t xml:space="preserve"> pad </w:t>
      </w:r>
      <w:proofErr w:type="spellStart"/>
      <w:r>
        <w:t>ekonomije</w:t>
      </w:r>
      <w:proofErr w:type="spellEnd"/>
      <w:r>
        <w:t xml:space="preserve"> </w:t>
      </w:r>
      <w:proofErr w:type="spellStart"/>
      <w:r>
        <w:t>BiH</w:t>
      </w:r>
      <w:proofErr w:type="spellEnd"/>
      <w:r>
        <w:t xml:space="preserve"> u </w:t>
      </w:r>
      <w:proofErr w:type="spellStart"/>
      <w:r>
        <w:t>iznosu</w:t>
      </w:r>
      <w:proofErr w:type="spellEnd"/>
      <w:r>
        <w:t xml:space="preserve"> </w:t>
      </w:r>
      <w:proofErr w:type="spellStart"/>
      <w:r>
        <w:t>od</w:t>
      </w:r>
      <w:proofErr w:type="spellEnd"/>
      <w:r>
        <w:t xml:space="preserve"> 3</w:t>
      </w:r>
      <w:proofErr w:type="gramStart"/>
      <w:r>
        <w:t>,0</w:t>
      </w:r>
      <w:proofErr w:type="gramEnd"/>
      <w:r>
        <w:t xml:space="preserve">% </w:t>
      </w:r>
      <w:proofErr w:type="spellStart"/>
      <w:r>
        <w:t>za</w:t>
      </w:r>
      <w:proofErr w:type="spellEnd"/>
      <w:r>
        <w:t xml:space="preserve"> 2020.g. </w:t>
      </w:r>
      <w:proofErr w:type="spellStart"/>
      <w:r>
        <w:t>dok</w:t>
      </w:r>
      <w:proofErr w:type="spellEnd"/>
      <w:r>
        <w:t xml:space="preserve"> </w:t>
      </w:r>
      <w:proofErr w:type="spellStart"/>
      <w:r>
        <w:t>su</w:t>
      </w:r>
      <w:proofErr w:type="spellEnd"/>
      <w:r>
        <w:t xml:space="preserve"> </w:t>
      </w:r>
      <w:proofErr w:type="spellStart"/>
      <w:r>
        <w:t>za</w:t>
      </w:r>
      <w:proofErr w:type="spellEnd"/>
      <w:r>
        <w:t xml:space="preserve"> 2021., 2022., </w:t>
      </w:r>
      <w:proofErr w:type="spellStart"/>
      <w:r>
        <w:t>i</w:t>
      </w:r>
      <w:proofErr w:type="spellEnd"/>
      <w:r>
        <w:t xml:space="preserve"> 2023. </w:t>
      </w:r>
      <w:proofErr w:type="spellStart"/>
      <w:proofErr w:type="gramStart"/>
      <w:r>
        <w:t>godinu</w:t>
      </w:r>
      <w:proofErr w:type="spellEnd"/>
      <w:proofErr w:type="gramEnd"/>
      <w:r>
        <w:t xml:space="preserve"> </w:t>
      </w:r>
      <w:proofErr w:type="spellStart"/>
      <w:r>
        <w:t>projicirane</w:t>
      </w:r>
      <w:proofErr w:type="spellEnd"/>
      <w:r>
        <w:t xml:space="preserve"> </w:t>
      </w:r>
      <w:proofErr w:type="spellStart"/>
      <w:r>
        <w:t>stope</w:t>
      </w:r>
      <w:proofErr w:type="spellEnd"/>
      <w:r>
        <w:t xml:space="preserve"> </w:t>
      </w:r>
      <w:proofErr w:type="spellStart"/>
      <w:r>
        <w:t>rasta</w:t>
      </w:r>
      <w:proofErr w:type="spellEnd"/>
      <w:r>
        <w:t xml:space="preserve"> </w:t>
      </w:r>
      <w:proofErr w:type="spellStart"/>
      <w:r>
        <w:t>od</w:t>
      </w:r>
      <w:proofErr w:type="spellEnd"/>
      <w:r>
        <w:t xml:space="preserve"> 2,5%, 3,1% </w:t>
      </w:r>
      <w:proofErr w:type="spellStart"/>
      <w:r>
        <w:t>i</w:t>
      </w:r>
      <w:proofErr w:type="spellEnd"/>
      <w:r>
        <w:t xml:space="preserve"> 3,4% </w:t>
      </w:r>
      <w:proofErr w:type="spellStart"/>
      <w:r>
        <w:t>respektivno</w:t>
      </w:r>
      <w:proofErr w:type="spellEnd"/>
      <w:r>
        <w:t xml:space="preserve">. </w:t>
      </w:r>
      <w:proofErr w:type="spellStart"/>
      <w:r>
        <w:t>Projekcije</w:t>
      </w:r>
      <w:proofErr w:type="spellEnd"/>
      <w:r>
        <w:t xml:space="preserve"> DEP-a </w:t>
      </w:r>
      <w:proofErr w:type="spellStart"/>
      <w:r>
        <w:t>glavno</w:t>
      </w:r>
      <w:proofErr w:type="spellEnd"/>
      <w:r>
        <w:t xml:space="preserve"> </w:t>
      </w:r>
      <w:proofErr w:type="spellStart"/>
      <w:r>
        <w:t>uporište</w:t>
      </w:r>
      <w:proofErr w:type="spellEnd"/>
      <w:r>
        <w:t xml:space="preserve"> </w:t>
      </w:r>
      <w:proofErr w:type="spellStart"/>
      <w:r>
        <w:t>imaju</w:t>
      </w:r>
      <w:proofErr w:type="spellEnd"/>
      <w:r>
        <w:t xml:space="preserve"> u </w:t>
      </w:r>
      <w:proofErr w:type="spellStart"/>
      <w:r>
        <w:t>projekcijama</w:t>
      </w:r>
      <w:proofErr w:type="spellEnd"/>
      <w:r>
        <w:t xml:space="preserve"> </w:t>
      </w:r>
      <w:proofErr w:type="spellStart"/>
      <w:r>
        <w:t>međunarodnih</w:t>
      </w:r>
      <w:proofErr w:type="spellEnd"/>
      <w:r>
        <w:t xml:space="preserve"> </w:t>
      </w:r>
      <w:proofErr w:type="spellStart"/>
      <w:r>
        <w:t>institucija</w:t>
      </w:r>
      <w:proofErr w:type="spellEnd"/>
      <w:r>
        <w:t xml:space="preserve">, a </w:t>
      </w:r>
      <w:proofErr w:type="spellStart"/>
      <w:r>
        <w:t>zasnovane</w:t>
      </w:r>
      <w:proofErr w:type="spellEnd"/>
      <w:r>
        <w:t xml:space="preserve"> </w:t>
      </w:r>
      <w:proofErr w:type="spellStart"/>
      <w:r>
        <w:t>su</w:t>
      </w:r>
      <w:proofErr w:type="spellEnd"/>
      <w:r>
        <w:t xml:space="preserve"> </w:t>
      </w:r>
      <w:proofErr w:type="spellStart"/>
      <w:proofErr w:type="gramStart"/>
      <w:r>
        <w:t>na</w:t>
      </w:r>
      <w:proofErr w:type="spellEnd"/>
      <w:proofErr w:type="gramEnd"/>
      <w:r>
        <w:t xml:space="preserve"> </w:t>
      </w:r>
      <w:proofErr w:type="spellStart"/>
      <w:r>
        <w:t>pretpostavci</w:t>
      </w:r>
      <w:proofErr w:type="spellEnd"/>
      <w:r>
        <w:t xml:space="preserve"> </w:t>
      </w:r>
      <w:proofErr w:type="spellStart"/>
      <w:r>
        <w:t>poboljšanja</w:t>
      </w:r>
      <w:proofErr w:type="spellEnd"/>
      <w:r>
        <w:t xml:space="preserve"> </w:t>
      </w:r>
      <w:proofErr w:type="spellStart"/>
      <w:r>
        <w:t>epidemiološke</w:t>
      </w:r>
      <w:proofErr w:type="spellEnd"/>
      <w:r>
        <w:t xml:space="preserve"> </w:t>
      </w:r>
      <w:proofErr w:type="spellStart"/>
      <w:r>
        <w:t>situacije</w:t>
      </w:r>
      <w:proofErr w:type="spellEnd"/>
      <w:r>
        <w:t xml:space="preserve">, </w:t>
      </w:r>
      <w:proofErr w:type="spellStart"/>
      <w:r>
        <w:t>što</w:t>
      </w:r>
      <w:proofErr w:type="spellEnd"/>
      <w:r>
        <w:t xml:space="preserve"> bi </w:t>
      </w:r>
      <w:proofErr w:type="spellStart"/>
      <w:r>
        <w:t>stabiliziralo</w:t>
      </w:r>
      <w:proofErr w:type="spellEnd"/>
      <w:r>
        <w:t xml:space="preserve"> </w:t>
      </w:r>
      <w:proofErr w:type="spellStart"/>
      <w:r>
        <w:t>ekonomske</w:t>
      </w:r>
      <w:proofErr w:type="spellEnd"/>
      <w:r>
        <w:t xml:space="preserve"> </w:t>
      </w:r>
      <w:proofErr w:type="spellStart"/>
      <w:r>
        <w:t>prilike</w:t>
      </w:r>
      <w:proofErr w:type="spellEnd"/>
      <w:r>
        <w:t xml:space="preserve"> u </w:t>
      </w:r>
      <w:proofErr w:type="spellStart"/>
      <w:r>
        <w:t>zemlji</w:t>
      </w:r>
      <w:proofErr w:type="spellEnd"/>
      <w:r>
        <w:t xml:space="preserve"> </w:t>
      </w:r>
      <w:proofErr w:type="spellStart"/>
      <w:r>
        <w:t>i</w:t>
      </w:r>
      <w:proofErr w:type="spellEnd"/>
      <w:r>
        <w:t xml:space="preserve"> </w:t>
      </w:r>
      <w:proofErr w:type="spellStart"/>
      <w:r>
        <w:t>inozemstvu</w:t>
      </w:r>
      <w:proofErr w:type="spellEnd"/>
      <w:r>
        <w:t xml:space="preserve"> u </w:t>
      </w:r>
      <w:proofErr w:type="spellStart"/>
      <w:r>
        <w:t>narednom</w:t>
      </w:r>
      <w:proofErr w:type="spellEnd"/>
      <w:r>
        <w:t xml:space="preserve"> </w:t>
      </w:r>
      <w:proofErr w:type="spellStart"/>
      <w:r>
        <w:t>razdoblju</w:t>
      </w:r>
      <w:proofErr w:type="spellEnd"/>
      <w:r>
        <w:t>.</w:t>
      </w:r>
    </w:p>
    <w:p w:rsidR="0060280C" w:rsidRDefault="0060280C">
      <w:pPr>
        <w:jc w:val="both"/>
      </w:pPr>
    </w:p>
    <w:p w:rsidR="0060280C" w:rsidRPr="005824CB" w:rsidRDefault="0060280C" w:rsidP="0060280C">
      <w:pPr>
        <w:ind w:firstLine="720"/>
        <w:jc w:val="both"/>
        <w:rPr>
          <w:b/>
          <w:bCs/>
          <w:lang w:val="hr-HR"/>
        </w:rPr>
      </w:pPr>
      <w:r>
        <w:t xml:space="preserve">Na </w:t>
      </w:r>
      <w:proofErr w:type="spellStart"/>
      <w:r>
        <w:t>osnovi</w:t>
      </w:r>
      <w:proofErr w:type="spellEnd"/>
      <w:r>
        <w:t xml:space="preserve"> DEP-</w:t>
      </w:r>
      <w:proofErr w:type="spellStart"/>
      <w:r>
        <w:t>ovih</w:t>
      </w:r>
      <w:proofErr w:type="spellEnd"/>
      <w:r>
        <w:t xml:space="preserve"> </w:t>
      </w:r>
      <w:proofErr w:type="spellStart"/>
      <w:r>
        <w:t>projekcija</w:t>
      </w:r>
      <w:proofErr w:type="spellEnd"/>
      <w:r>
        <w:t xml:space="preserve"> </w:t>
      </w:r>
      <w:proofErr w:type="spellStart"/>
      <w:r>
        <w:t>makroekonomskih</w:t>
      </w:r>
      <w:proofErr w:type="spellEnd"/>
      <w:r>
        <w:t xml:space="preserve"> </w:t>
      </w:r>
      <w:proofErr w:type="spellStart"/>
      <w:r>
        <w:t>pokazatelja</w:t>
      </w:r>
      <w:proofErr w:type="spellEnd"/>
      <w:r>
        <w:t xml:space="preserve"> </w:t>
      </w:r>
      <w:proofErr w:type="spellStart"/>
      <w:r>
        <w:t>i</w:t>
      </w:r>
      <w:proofErr w:type="spellEnd"/>
      <w:r>
        <w:t xml:space="preserve"> </w:t>
      </w:r>
      <w:proofErr w:type="spellStart"/>
      <w:r>
        <w:t>tekućih</w:t>
      </w:r>
      <w:proofErr w:type="spellEnd"/>
      <w:r>
        <w:t xml:space="preserve"> </w:t>
      </w:r>
      <w:proofErr w:type="spellStart"/>
      <w:r>
        <w:t>trendova</w:t>
      </w:r>
      <w:proofErr w:type="spellEnd"/>
      <w:r>
        <w:t xml:space="preserve"> </w:t>
      </w:r>
      <w:proofErr w:type="spellStart"/>
      <w:r>
        <w:t>naplate</w:t>
      </w:r>
      <w:proofErr w:type="spellEnd"/>
      <w:r>
        <w:t xml:space="preserve">, </w:t>
      </w:r>
      <w:proofErr w:type="spellStart"/>
      <w:r>
        <w:t>Odjeljenje</w:t>
      </w:r>
      <w:proofErr w:type="spellEnd"/>
      <w:r>
        <w:t xml:space="preserve"> </w:t>
      </w:r>
      <w:proofErr w:type="spellStart"/>
      <w:r>
        <w:t>za</w:t>
      </w:r>
      <w:proofErr w:type="spellEnd"/>
      <w:r>
        <w:t xml:space="preserve"> </w:t>
      </w:r>
      <w:proofErr w:type="spellStart"/>
      <w:r>
        <w:t>makroekonomsku</w:t>
      </w:r>
      <w:proofErr w:type="spellEnd"/>
      <w:r>
        <w:t xml:space="preserve"> </w:t>
      </w:r>
      <w:proofErr w:type="spellStart"/>
      <w:r>
        <w:t>analizu</w:t>
      </w:r>
      <w:proofErr w:type="spellEnd"/>
      <w:r>
        <w:t xml:space="preserve"> UNO (OMA) je </w:t>
      </w:r>
      <w:proofErr w:type="spellStart"/>
      <w:r>
        <w:t>projiciralo</w:t>
      </w:r>
      <w:proofErr w:type="spellEnd"/>
      <w:r>
        <w:t xml:space="preserve"> pad </w:t>
      </w:r>
      <w:proofErr w:type="spellStart"/>
      <w:r>
        <w:t>neizravnih</w:t>
      </w:r>
      <w:proofErr w:type="spellEnd"/>
      <w:r>
        <w:t xml:space="preserve"> </w:t>
      </w:r>
      <w:proofErr w:type="spellStart"/>
      <w:r>
        <w:t>poreza</w:t>
      </w:r>
      <w:proofErr w:type="spellEnd"/>
      <w:r>
        <w:t xml:space="preserve"> </w:t>
      </w:r>
      <w:proofErr w:type="spellStart"/>
      <w:r>
        <w:t>po</w:t>
      </w:r>
      <w:proofErr w:type="spellEnd"/>
      <w:r>
        <w:t xml:space="preserve"> </w:t>
      </w:r>
      <w:proofErr w:type="spellStart"/>
      <w:r>
        <w:t>stopi</w:t>
      </w:r>
      <w:proofErr w:type="spellEnd"/>
      <w:r>
        <w:t xml:space="preserve"> </w:t>
      </w:r>
      <w:proofErr w:type="spellStart"/>
      <w:r>
        <w:t>od</w:t>
      </w:r>
      <w:proofErr w:type="spellEnd"/>
      <w:r>
        <w:t xml:space="preserve"> 10</w:t>
      </w:r>
      <w:proofErr w:type="gramStart"/>
      <w:r>
        <w:t>,9</w:t>
      </w:r>
      <w:proofErr w:type="gramEnd"/>
      <w:r>
        <w:t xml:space="preserve">% </w:t>
      </w:r>
      <w:proofErr w:type="spellStart"/>
      <w:r>
        <w:t>za</w:t>
      </w:r>
      <w:proofErr w:type="spellEnd"/>
      <w:r>
        <w:t xml:space="preserve"> 2020. </w:t>
      </w:r>
      <w:proofErr w:type="spellStart"/>
      <w:proofErr w:type="gramStart"/>
      <w:r>
        <w:t>godinu</w:t>
      </w:r>
      <w:proofErr w:type="spellEnd"/>
      <w:proofErr w:type="gramEnd"/>
      <w:r>
        <w:t xml:space="preserve">, </w:t>
      </w:r>
      <w:proofErr w:type="spellStart"/>
      <w:r>
        <w:t>dok</w:t>
      </w:r>
      <w:proofErr w:type="spellEnd"/>
      <w:r>
        <w:t xml:space="preserve"> </w:t>
      </w:r>
      <w:proofErr w:type="spellStart"/>
      <w:r>
        <w:t>su</w:t>
      </w:r>
      <w:proofErr w:type="spellEnd"/>
      <w:r>
        <w:t xml:space="preserve"> </w:t>
      </w:r>
      <w:proofErr w:type="spellStart"/>
      <w:r>
        <w:t>za</w:t>
      </w:r>
      <w:proofErr w:type="spellEnd"/>
      <w:r>
        <w:t xml:space="preserve"> 2021., 2022., </w:t>
      </w:r>
      <w:proofErr w:type="spellStart"/>
      <w:r>
        <w:t>i</w:t>
      </w:r>
      <w:proofErr w:type="spellEnd"/>
      <w:r>
        <w:t xml:space="preserve"> 2023. </w:t>
      </w:r>
      <w:proofErr w:type="spellStart"/>
      <w:proofErr w:type="gramStart"/>
      <w:r>
        <w:t>godinu</w:t>
      </w:r>
      <w:proofErr w:type="spellEnd"/>
      <w:proofErr w:type="gramEnd"/>
      <w:r>
        <w:t xml:space="preserve"> </w:t>
      </w:r>
      <w:proofErr w:type="spellStart"/>
      <w:r>
        <w:t>projicirane</w:t>
      </w:r>
      <w:proofErr w:type="spellEnd"/>
      <w:r>
        <w:t xml:space="preserve"> </w:t>
      </w:r>
      <w:proofErr w:type="spellStart"/>
      <w:r>
        <w:t>stope</w:t>
      </w:r>
      <w:proofErr w:type="spellEnd"/>
      <w:r>
        <w:t xml:space="preserve"> </w:t>
      </w:r>
      <w:proofErr w:type="spellStart"/>
      <w:r>
        <w:t>rasta</w:t>
      </w:r>
      <w:proofErr w:type="spellEnd"/>
      <w:r>
        <w:t xml:space="preserve"> </w:t>
      </w:r>
      <w:proofErr w:type="spellStart"/>
      <w:r>
        <w:t>od</w:t>
      </w:r>
      <w:proofErr w:type="spellEnd"/>
      <w:r>
        <w:t xml:space="preserve"> 2,8%, 3,5% </w:t>
      </w:r>
      <w:proofErr w:type="spellStart"/>
      <w:r>
        <w:t>i</w:t>
      </w:r>
      <w:proofErr w:type="spellEnd"/>
      <w:r>
        <w:t xml:space="preserve"> 3,7% </w:t>
      </w:r>
      <w:proofErr w:type="spellStart"/>
      <w:r>
        <w:t>respektivno</w:t>
      </w:r>
      <w:proofErr w:type="spellEnd"/>
      <w:r>
        <w:t xml:space="preserve">. </w:t>
      </w:r>
      <w:proofErr w:type="spellStart"/>
      <w:r w:rsidR="001A4B62">
        <w:t>O</w:t>
      </w:r>
      <w:r>
        <w:t>bzirom</w:t>
      </w:r>
      <w:proofErr w:type="spellEnd"/>
      <w:r>
        <w:t xml:space="preserve"> </w:t>
      </w:r>
      <w:proofErr w:type="spellStart"/>
      <w:proofErr w:type="gramStart"/>
      <w:r>
        <w:t>na</w:t>
      </w:r>
      <w:proofErr w:type="spellEnd"/>
      <w:proofErr w:type="gramEnd"/>
      <w:r>
        <w:t xml:space="preserve"> </w:t>
      </w:r>
      <w:proofErr w:type="spellStart"/>
      <w:r>
        <w:t>ogromne</w:t>
      </w:r>
      <w:proofErr w:type="spellEnd"/>
      <w:r>
        <w:t xml:space="preserve"> </w:t>
      </w:r>
      <w:proofErr w:type="spellStart"/>
      <w:r>
        <w:t>nepoznanice</w:t>
      </w:r>
      <w:proofErr w:type="spellEnd"/>
      <w:r>
        <w:t xml:space="preserve"> u </w:t>
      </w:r>
      <w:proofErr w:type="spellStart"/>
      <w:r>
        <w:t>trenutku</w:t>
      </w:r>
      <w:proofErr w:type="spellEnd"/>
      <w:r>
        <w:t xml:space="preserve"> </w:t>
      </w:r>
      <w:proofErr w:type="spellStart"/>
      <w:r>
        <w:t>izrade</w:t>
      </w:r>
      <w:proofErr w:type="spellEnd"/>
      <w:r>
        <w:t xml:space="preserve"> </w:t>
      </w:r>
      <w:proofErr w:type="spellStart"/>
      <w:r>
        <w:t>projekcija</w:t>
      </w:r>
      <w:proofErr w:type="spellEnd"/>
      <w:r>
        <w:t xml:space="preserve"> o </w:t>
      </w:r>
      <w:proofErr w:type="spellStart"/>
      <w:r>
        <w:t>jačini</w:t>
      </w:r>
      <w:proofErr w:type="spellEnd"/>
      <w:r>
        <w:t xml:space="preserve"> </w:t>
      </w:r>
      <w:proofErr w:type="spellStart"/>
      <w:r>
        <w:t>i</w:t>
      </w:r>
      <w:proofErr w:type="spellEnd"/>
      <w:r>
        <w:t xml:space="preserve"> </w:t>
      </w:r>
      <w:proofErr w:type="spellStart"/>
      <w:r>
        <w:t>trajanju</w:t>
      </w:r>
      <w:proofErr w:type="spellEnd"/>
      <w:r>
        <w:t xml:space="preserve"> </w:t>
      </w:r>
      <w:proofErr w:type="spellStart"/>
      <w:r>
        <w:t>šoka</w:t>
      </w:r>
      <w:proofErr w:type="spellEnd"/>
      <w:r>
        <w:t xml:space="preserve"> </w:t>
      </w:r>
      <w:proofErr w:type="spellStart"/>
      <w:r>
        <w:t>uzrokovanog</w:t>
      </w:r>
      <w:proofErr w:type="spellEnd"/>
      <w:r>
        <w:t xml:space="preserve"> </w:t>
      </w:r>
      <w:proofErr w:type="spellStart"/>
      <w:r>
        <w:t>pandemijom</w:t>
      </w:r>
      <w:proofErr w:type="spellEnd"/>
      <w:r>
        <w:t xml:space="preserve"> </w:t>
      </w:r>
      <w:proofErr w:type="spellStart"/>
      <w:r>
        <w:t>virusa</w:t>
      </w:r>
      <w:proofErr w:type="spellEnd"/>
      <w:r>
        <w:t xml:space="preserve"> </w:t>
      </w:r>
      <w:proofErr w:type="spellStart"/>
      <w:r>
        <w:t>korona</w:t>
      </w:r>
      <w:proofErr w:type="spellEnd"/>
      <w:r>
        <w:t xml:space="preserve">, </w:t>
      </w:r>
      <w:proofErr w:type="spellStart"/>
      <w:r>
        <w:t>kao</w:t>
      </w:r>
      <w:proofErr w:type="spellEnd"/>
      <w:r>
        <w:t xml:space="preserve"> </w:t>
      </w:r>
      <w:proofErr w:type="spellStart"/>
      <w:r>
        <w:t>i</w:t>
      </w:r>
      <w:proofErr w:type="spellEnd"/>
      <w:r>
        <w:t xml:space="preserve"> </w:t>
      </w:r>
      <w:proofErr w:type="spellStart"/>
      <w:r>
        <w:t>na</w:t>
      </w:r>
      <w:proofErr w:type="spellEnd"/>
      <w:r>
        <w:t xml:space="preserve"> </w:t>
      </w:r>
      <w:proofErr w:type="spellStart"/>
      <w:r>
        <w:t>brojne</w:t>
      </w:r>
      <w:proofErr w:type="spellEnd"/>
      <w:r>
        <w:t xml:space="preserve"> </w:t>
      </w:r>
      <w:proofErr w:type="spellStart"/>
      <w:r>
        <w:t>nepoznanice</w:t>
      </w:r>
      <w:proofErr w:type="spellEnd"/>
      <w:r>
        <w:t xml:space="preserve"> </w:t>
      </w:r>
      <w:proofErr w:type="spellStart"/>
      <w:r>
        <w:t>na</w:t>
      </w:r>
      <w:proofErr w:type="spellEnd"/>
      <w:r>
        <w:t xml:space="preserve"> </w:t>
      </w:r>
      <w:proofErr w:type="spellStart"/>
      <w:r>
        <w:t>unutarnjem</w:t>
      </w:r>
      <w:proofErr w:type="spellEnd"/>
      <w:r>
        <w:t xml:space="preserve"> </w:t>
      </w:r>
      <w:proofErr w:type="spellStart"/>
      <w:r>
        <w:t>planu</w:t>
      </w:r>
      <w:proofErr w:type="spellEnd"/>
      <w:r>
        <w:t xml:space="preserve">, </w:t>
      </w:r>
      <w:proofErr w:type="spellStart"/>
      <w:r>
        <w:t>te</w:t>
      </w:r>
      <w:proofErr w:type="spellEnd"/>
      <w:r>
        <w:t xml:space="preserve"> </w:t>
      </w:r>
      <w:proofErr w:type="spellStart"/>
      <w:r>
        <w:t>korištene</w:t>
      </w:r>
      <w:proofErr w:type="spellEnd"/>
      <w:r>
        <w:t xml:space="preserve"> </w:t>
      </w:r>
      <w:proofErr w:type="spellStart"/>
      <w:r>
        <w:t>pretpostavke</w:t>
      </w:r>
      <w:proofErr w:type="spellEnd"/>
      <w:r>
        <w:t xml:space="preserve"> </w:t>
      </w:r>
      <w:proofErr w:type="spellStart"/>
      <w:r>
        <w:t>da</w:t>
      </w:r>
      <w:proofErr w:type="spellEnd"/>
      <w:r>
        <w:t xml:space="preserve"> </w:t>
      </w:r>
      <w:proofErr w:type="spellStart"/>
      <w:r>
        <w:t>će</w:t>
      </w:r>
      <w:proofErr w:type="spellEnd"/>
      <w:r>
        <w:t xml:space="preserve"> </w:t>
      </w:r>
      <w:proofErr w:type="spellStart"/>
      <w:r>
        <w:t>kriza</w:t>
      </w:r>
      <w:proofErr w:type="spellEnd"/>
      <w:r>
        <w:t xml:space="preserve"> </w:t>
      </w:r>
      <w:proofErr w:type="spellStart"/>
      <w:r>
        <w:t>biti</w:t>
      </w:r>
      <w:proofErr w:type="spellEnd"/>
      <w:r>
        <w:t xml:space="preserve"> </w:t>
      </w:r>
      <w:proofErr w:type="spellStart"/>
      <w:r>
        <w:t>prevaziđena</w:t>
      </w:r>
      <w:proofErr w:type="spellEnd"/>
      <w:r>
        <w:t xml:space="preserve"> u </w:t>
      </w:r>
      <w:proofErr w:type="spellStart"/>
      <w:r>
        <w:t>kratkom</w:t>
      </w:r>
      <w:proofErr w:type="spellEnd"/>
      <w:r>
        <w:t xml:space="preserve"> </w:t>
      </w:r>
      <w:proofErr w:type="spellStart"/>
      <w:r>
        <w:t>roku</w:t>
      </w:r>
      <w:proofErr w:type="spellEnd"/>
      <w:r>
        <w:t xml:space="preserve"> (DEP, </w:t>
      </w:r>
      <w:proofErr w:type="spellStart"/>
      <w:r>
        <w:t>projekcije</w:t>
      </w:r>
      <w:proofErr w:type="spellEnd"/>
      <w:r>
        <w:t xml:space="preserve"> </w:t>
      </w:r>
      <w:proofErr w:type="spellStart"/>
      <w:r>
        <w:t>makroekonomskih</w:t>
      </w:r>
      <w:proofErr w:type="spellEnd"/>
      <w:r>
        <w:t xml:space="preserve"> </w:t>
      </w:r>
      <w:proofErr w:type="spellStart"/>
      <w:r>
        <w:t>indikatora</w:t>
      </w:r>
      <w:proofErr w:type="spellEnd"/>
      <w:r>
        <w:t xml:space="preserve">), </w:t>
      </w:r>
      <w:proofErr w:type="spellStart"/>
      <w:r>
        <w:t>postoje</w:t>
      </w:r>
      <w:proofErr w:type="spellEnd"/>
      <w:r>
        <w:t xml:space="preserve"> </w:t>
      </w:r>
      <w:proofErr w:type="spellStart"/>
      <w:r>
        <w:t>značajni</w:t>
      </w:r>
      <w:proofErr w:type="spellEnd"/>
      <w:r>
        <w:t xml:space="preserve"> </w:t>
      </w:r>
      <w:proofErr w:type="spellStart"/>
      <w:r>
        <w:t>rizici</w:t>
      </w:r>
      <w:proofErr w:type="spellEnd"/>
      <w:r>
        <w:t xml:space="preserve"> </w:t>
      </w:r>
      <w:proofErr w:type="spellStart"/>
      <w:r>
        <w:t>za</w:t>
      </w:r>
      <w:proofErr w:type="spellEnd"/>
      <w:r>
        <w:t xml:space="preserve"> </w:t>
      </w:r>
      <w:proofErr w:type="spellStart"/>
      <w:r>
        <w:t>ostvarenje</w:t>
      </w:r>
      <w:proofErr w:type="spellEnd"/>
      <w:r>
        <w:t xml:space="preserve"> </w:t>
      </w:r>
      <w:proofErr w:type="spellStart"/>
      <w:r>
        <w:t>projekcija</w:t>
      </w:r>
      <w:proofErr w:type="spellEnd"/>
      <w:r>
        <w:t xml:space="preserve"> </w:t>
      </w:r>
      <w:proofErr w:type="spellStart"/>
      <w:r>
        <w:t>prihoda</w:t>
      </w:r>
      <w:proofErr w:type="spellEnd"/>
      <w:r>
        <w:t xml:space="preserve"> </w:t>
      </w:r>
      <w:proofErr w:type="spellStart"/>
      <w:r>
        <w:t>od</w:t>
      </w:r>
      <w:proofErr w:type="spellEnd"/>
      <w:r>
        <w:t xml:space="preserve"> </w:t>
      </w:r>
      <w:proofErr w:type="spellStart"/>
      <w:r>
        <w:t>neizravnih</w:t>
      </w:r>
      <w:proofErr w:type="spellEnd"/>
      <w:r>
        <w:t xml:space="preserve"> </w:t>
      </w:r>
      <w:proofErr w:type="spellStart"/>
      <w:r>
        <w:t>poreza</w:t>
      </w:r>
      <w:proofErr w:type="spellEnd"/>
      <w:r>
        <w:t xml:space="preserve">, </w:t>
      </w:r>
      <w:proofErr w:type="spellStart"/>
      <w:r>
        <w:t>pri</w:t>
      </w:r>
      <w:proofErr w:type="spellEnd"/>
      <w:r>
        <w:t xml:space="preserve"> </w:t>
      </w:r>
      <w:proofErr w:type="spellStart"/>
      <w:r>
        <w:t>čemu</w:t>
      </w:r>
      <w:proofErr w:type="spellEnd"/>
      <w:r>
        <w:t xml:space="preserve"> </w:t>
      </w:r>
      <w:proofErr w:type="spellStart"/>
      <w:r>
        <w:t>preovladavaju</w:t>
      </w:r>
      <w:proofErr w:type="spellEnd"/>
      <w:r>
        <w:t xml:space="preserve"> </w:t>
      </w:r>
      <w:proofErr w:type="spellStart"/>
      <w:r>
        <w:t>rizici</w:t>
      </w:r>
      <w:proofErr w:type="spellEnd"/>
      <w:r>
        <w:t xml:space="preserve"> </w:t>
      </w:r>
      <w:proofErr w:type="spellStart"/>
      <w:r>
        <w:t>lošijeg</w:t>
      </w:r>
      <w:proofErr w:type="spellEnd"/>
      <w:r>
        <w:t xml:space="preserve"> </w:t>
      </w:r>
      <w:proofErr w:type="spellStart"/>
      <w:r>
        <w:t>ishoda</w:t>
      </w:r>
      <w:proofErr w:type="spellEnd"/>
      <w:r>
        <w:t>.</w:t>
      </w:r>
      <w:r w:rsidR="001A4B62">
        <w:rPr>
          <w:rStyle w:val="Referencafusnote"/>
        </w:rPr>
        <w:footnoteReference w:id="1"/>
      </w:r>
    </w:p>
    <w:tbl>
      <w:tblPr>
        <w:tblW w:w="0" w:type="auto"/>
        <w:tblLook w:val="0000"/>
      </w:tblPr>
      <w:tblGrid>
        <w:gridCol w:w="828"/>
        <w:gridCol w:w="8771"/>
      </w:tblGrid>
      <w:tr w:rsidR="00CA1958" w:rsidRPr="005824CB">
        <w:tc>
          <w:tcPr>
            <w:tcW w:w="828" w:type="dxa"/>
            <w:shd w:val="clear" w:color="auto" w:fill="404040"/>
          </w:tcPr>
          <w:p w:rsidR="00CA1958" w:rsidRPr="005824CB" w:rsidRDefault="00CA1958">
            <w:pPr>
              <w:pStyle w:val="Naslov"/>
              <w:rPr>
                <w:color w:val="FFFFFF"/>
              </w:rPr>
            </w:pPr>
            <w:r w:rsidRPr="005824CB">
              <w:rPr>
                <w:color w:val="FFFFFF"/>
              </w:rPr>
              <w:lastRenderedPageBreak/>
              <w:t>4.</w:t>
            </w:r>
          </w:p>
        </w:tc>
        <w:tc>
          <w:tcPr>
            <w:tcW w:w="8771" w:type="dxa"/>
          </w:tcPr>
          <w:p w:rsidR="00CA1958" w:rsidRPr="005824CB" w:rsidRDefault="00CA1958" w:rsidP="001974BC">
            <w:pPr>
              <w:pStyle w:val="Naslov"/>
              <w:jc w:val="both"/>
            </w:pPr>
            <w:r w:rsidRPr="005824CB">
              <w:t>STRUKTURA PRORAČUNA ŽUPANIJE POSAVSKE ZA 20</w:t>
            </w:r>
            <w:r w:rsidR="008770BA">
              <w:t>2</w:t>
            </w:r>
            <w:r w:rsidR="001974BC">
              <w:t>1</w:t>
            </w:r>
            <w:r w:rsidRPr="005824CB">
              <w:t xml:space="preserve">. GODINU – </w:t>
            </w:r>
            <w:r w:rsidR="000C206D">
              <w:t>PRIHODI, PRIMICI I FINANCIRANJE</w:t>
            </w:r>
          </w:p>
        </w:tc>
      </w:tr>
    </w:tbl>
    <w:p w:rsidR="00CA1958" w:rsidRPr="005824CB" w:rsidRDefault="00CA1958">
      <w:pPr>
        <w:jc w:val="both"/>
        <w:rPr>
          <w:b/>
          <w:bCs/>
          <w:lang w:val="hr-HR"/>
        </w:rPr>
      </w:pPr>
    </w:p>
    <w:p w:rsidR="00CA1958" w:rsidRPr="005824CB" w:rsidRDefault="00CA1958">
      <w:pPr>
        <w:pStyle w:val="Uvuenotijeloteksta"/>
        <w:spacing w:line="240" w:lineRule="auto"/>
      </w:pPr>
      <w:r w:rsidRPr="005824CB">
        <w:t xml:space="preserve">Ukupno planirani </w:t>
      </w:r>
      <w:r w:rsidR="00581DC1" w:rsidRPr="005824CB">
        <w:t>prihodi</w:t>
      </w:r>
      <w:r w:rsidR="000C206D">
        <w:t>, primici i financiranje</w:t>
      </w:r>
      <w:r w:rsidRPr="005824CB">
        <w:t xml:space="preserve"> Proračuna Županije Posavske za 20</w:t>
      </w:r>
      <w:r w:rsidR="000C206D">
        <w:t>2</w:t>
      </w:r>
      <w:r w:rsidR="001974BC">
        <w:t>1</w:t>
      </w:r>
      <w:r w:rsidRPr="005824CB">
        <w:t>. godin</w:t>
      </w:r>
      <w:r w:rsidR="001E58B6" w:rsidRPr="005824CB">
        <w:t>u</w:t>
      </w:r>
      <w:r w:rsidRPr="005824CB">
        <w:t xml:space="preserve"> iznose </w:t>
      </w:r>
      <w:r w:rsidR="001974BC">
        <w:t>44</w:t>
      </w:r>
      <w:r w:rsidR="000C206D">
        <w:t>.</w:t>
      </w:r>
      <w:r w:rsidR="001974BC">
        <w:t>506</w:t>
      </w:r>
      <w:r w:rsidR="000C206D">
        <w:t>.</w:t>
      </w:r>
      <w:r w:rsidR="001974BC">
        <w:t>96</w:t>
      </w:r>
      <w:r w:rsidR="000C206D">
        <w:t>0</w:t>
      </w:r>
      <w:r w:rsidRPr="005824CB">
        <w:t xml:space="preserve"> KM, odnosno </w:t>
      </w:r>
      <w:r w:rsidR="001974BC">
        <w:t>1,81</w:t>
      </w:r>
      <w:r w:rsidRPr="005824CB">
        <w:t xml:space="preserve">% </w:t>
      </w:r>
      <w:r w:rsidR="000C206D">
        <w:t>više</w:t>
      </w:r>
      <w:r w:rsidRPr="005824CB">
        <w:t xml:space="preserve"> nego što je planirano u 20</w:t>
      </w:r>
      <w:r w:rsidR="001974BC">
        <w:t>20</w:t>
      </w:r>
      <w:r w:rsidRPr="005824CB">
        <w:t>.</w:t>
      </w:r>
      <w:r w:rsidR="00DD74F2" w:rsidRPr="005824CB">
        <w:t xml:space="preserve"> </w:t>
      </w:r>
      <w:r w:rsidRPr="005824CB">
        <w:t xml:space="preserve">godini, ili u apsolutnom iznosu </w:t>
      </w:r>
      <w:r w:rsidR="001974BC">
        <w:t>790.830</w:t>
      </w:r>
      <w:r w:rsidRPr="005824CB">
        <w:t xml:space="preserve"> KM </w:t>
      </w:r>
      <w:r w:rsidR="000C206D">
        <w:t>više</w:t>
      </w:r>
      <w:r w:rsidRPr="005824CB">
        <w:t>.</w:t>
      </w:r>
    </w:p>
    <w:p w:rsidR="00CA1958" w:rsidRPr="005824CB" w:rsidRDefault="00CA1958">
      <w:pPr>
        <w:pStyle w:val="Tijeloteksta-uvlaka2"/>
        <w:rPr>
          <w:color w:val="auto"/>
        </w:rPr>
      </w:pPr>
      <w:r w:rsidRPr="005824CB">
        <w:rPr>
          <w:color w:val="auto"/>
        </w:rPr>
        <w:t>Na slijedećem grafu prikazan je usporedni prikaz osnovnih skupina prihoda i primitaka u Proračunu Županije Posavske za 20</w:t>
      </w:r>
      <w:r w:rsidR="001974BC">
        <w:rPr>
          <w:color w:val="auto"/>
        </w:rPr>
        <w:t>20</w:t>
      </w:r>
      <w:r w:rsidRPr="005824CB">
        <w:rPr>
          <w:color w:val="auto"/>
        </w:rPr>
        <w:t>. i 20</w:t>
      </w:r>
      <w:r w:rsidR="000C206D">
        <w:rPr>
          <w:color w:val="auto"/>
        </w:rPr>
        <w:t>2</w:t>
      </w:r>
      <w:r w:rsidR="001974BC">
        <w:rPr>
          <w:color w:val="auto"/>
        </w:rPr>
        <w:t>1</w:t>
      </w:r>
      <w:r w:rsidRPr="005824CB">
        <w:rPr>
          <w:color w:val="auto"/>
        </w:rPr>
        <w:t>. godinu.</w:t>
      </w:r>
    </w:p>
    <w:p w:rsidR="00CA1958" w:rsidRPr="005824CB" w:rsidRDefault="00CA1958">
      <w:pPr>
        <w:pStyle w:val="Tijeloteksta-uvlaka2"/>
        <w:ind w:firstLine="0"/>
        <w:rPr>
          <w:color w:val="auto"/>
        </w:rPr>
      </w:pPr>
    </w:p>
    <w:p w:rsidR="00CA1958" w:rsidRDefault="00C74E2C">
      <w:pPr>
        <w:pStyle w:val="Tijeloteksta-uvlaka2"/>
        <w:ind w:firstLine="0"/>
        <w:jc w:val="center"/>
        <w:rPr>
          <w:color w:val="auto"/>
        </w:rPr>
      </w:pPr>
      <w:r w:rsidRPr="005824CB">
        <w:rPr>
          <w:noProof/>
          <w:color w:val="auto"/>
          <w:lang w:eastAsia="hr-HR"/>
        </w:rPr>
        <w:drawing>
          <wp:inline distT="0" distB="0" distL="0" distR="0">
            <wp:extent cx="5592445" cy="2433955"/>
            <wp:effectExtent l="0" t="0" r="0" b="0"/>
            <wp:docPr id="22" name="Objek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206D" w:rsidRDefault="000C206D" w:rsidP="000C206D">
      <w:pPr>
        <w:ind w:firstLine="720"/>
        <w:jc w:val="both"/>
        <w:rPr>
          <w:lang w:val="hr-HR"/>
        </w:rPr>
      </w:pPr>
      <w:r>
        <w:rPr>
          <w:lang w:val="hr-HR"/>
        </w:rPr>
        <w:t>Ukupni proračunski prihodi planirani Proračunom Županije Posavske za 202</w:t>
      </w:r>
      <w:r w:rsidR="001974BC">
        <w:rPr>
          <w:lang w:val="hr-HR"/>
        </w:rPr>
        <w:t>1</w:t>
      </w:r>
      <w:r>
        <w:rPr>
          <w:lang w:val="hr-HR"/>
        </w:rPr>
        <w:t xml:space="preserve">. godinu iznose </w:t>
      </w:r>
      <w:r w:rsidR="001974BC">
        <w:rPr>
          <w:lang w:val="hr-HR"/>
        </w:rPr>
        <w:t>44</w:t>
      </w:r>
      <w:r>
        <w:rPr>
          <w:lang w:val="hr-HR"/>
        </w:rPr>
        <w:t>.</w:t>
      </w:r>
      <w:r w:rsidR="001974BC">
        <w:rPr>
          <w:lang w:val="hr-HR"/>
        </w:rPr>
        <w:t>506</w:t>
      </w:r>
      <w:r>
        <w:rPr>
          <w:lang w:val="hr-HR"/>
        </w:rPr>
        <w:t>.</w:t>
      </w:r>
      <w:r w:rsidR="001974BC">
        <w:rPr>
          <w:lang w:val="hr-HR"/>
        </w:rPr>
        <w:t>9</w:t>
      </w:r>
      <w:r>
        <w:rPr>
          <w:lang w:val="hr-HR"/>
        </w:rPr>
        <w:t xml:space="preserve">60 KM, i veći su za </w:t>
      </w:r>
      <w:r w:rsidR="001974BC">
        <w:rPr>
          <w:lang w:val="hr-HR"/>
        </w:rPr>
        <w:t>1,84</w:t>
      </w:r>
      <w:r>
        <w:rPr>
          <w:lang w:val="hr-HR"/>
        </w:rPr>
        <w:t>% od prora</w:t>
      </w:r>
      <w:r w:rsidR="001974BC">
        <w:rPr>
          <w:lang w:val="hr-HR"/>
        </w:rPr>
        <w:t>čunskih prihoda planiranih u 2020</w:t>
      </w:r>
      <w:r>
        <w:rPr>
          <w:lang w:val="hr-HR"/>
        </w:rPr>
        <w:t xml:space="preserve">. godini, odnosno veći za </w:t>
      </w:r>
      <w:r w:rsidR="001974BC">
        <w:rPr>
          <w:lang w:val="hr-HR"/>
        </w:rPr>
        <w:t>802.410</w:t>
      </w:r>
      <w:r>
        <w:rPr>
          <w:lang w:val="hr-HR"/>
        </w:rPr>
        <w:t xml:space="preserve"> KM.</w:t>
      </w:r>
    </w:p>
    <w:p w:rsidR="000C206D" w:rsidRPr="005824CB" w:rsidRDefault="000C206D" w:rsidP="000C206D">
      <w:pPr>
        <w:pStyle w:val="Tijeloteksta-uvlaka2"/>
        <w:ind w:firstLine="0"/>
        <w:rPr>
          <w:color w:val="auto"/>
        </w:rPr>
      </w:pPr>
    </w:p>
    <w:p w:rsidR="00CA1958" w:rsidRPr="005824CB" w:rsidRDefault="00CA1958">
      <w:pPr>
        <w:pStyle w:val="Naslov1"/>
        <w:ind w:firstLine="720"/>
        <w:jc w:val="left"/>
      </w:pPr>
      <w:r w:rsidRPr="005824CB">
        <w:t xml:space="preserve">4.1.1 </w:t>
      </w:r>
      <w:r w:rsidRPr="005824CB">
        <w:tab/>
        <w:t>PRIHODI OD POREZA</w:t>
      </w:r>
    </w:p>
    <w:p w:rsidR="00CA1958" w:rsidRPr="005824CB" w:rsidRDefault="00CA1958">
      <w:pPr>
        <w:ind w:firstLine="720"/>
        <w:jc w:val="both"/>
        <w:rPr>
          <w:b/>
          <w:bCs/>
          <w:u w:val="single"/>
          <w:lang w:val="hr-HR"/>
        </w:rPr>
      </w:pPr>
    </w:p>
    <w:p w:rsidR="00CA1958" w:rsidRPr="005824CB" w:rsidRDefault="00CA1958">
      <w:pPr>
        <w:pStyle w:val="Tijeloteksta-uvlaka2"/>
        <w:rPr>
          <w:color w:val="auto"/>
        </w:rPr>
      </w:pPr>
      <w:r w:rsidRPr="005824CB">
        <w:rPr>
          <w:color w:val="auto"/>
        </w:rPr>
        <w:t>Proračunom ukupno planirani porezni prihodi (kategorija 710000) iznose</w:t>
      </w:r>
      <w:r w:rsidR="00DD74F2" w:rsidRPr="005824CB">
        <w:rPr>
          <w:color w:val="auto"/>
        </w:rPr>
        <w:t xml:space="preserve"> </w:t>
      </w:r>
      <w:r w:rsidR="001974BC">
        <w:rPr>
          <w:color w:val="auto"/>
        </w:rPr>
        <w:t>31.363.980</w:t>
      </w:r>
      <w:r w:rsidRPr="005824CB">
        <w:rPr>
          <w:color w:val="auto"/>
        </w:rPr>
        <w:t xml:space="preserve"> KM, odnosno </w:t>
      </w:r>
      <w:r w:rsidR="001974BC">
        <w:rPr>
          <w:color w:val="auto"/>
        </w:rPr>
        <w:t>3,05</w:t>
      </w:r>
      <w:r w:rsidRPr="005824CB">
        <w:rPr>
          <w:color w:val="auto"/>
        </w:rPr>
        <w:t xml:space="preserve">% </w:t>
      </w:r>
      <w:r w:rsidR="001974BC">
        <w:rPr>
          <w:color w:val="auto"/>
        </w:rPr>
        <w:t>manje</w:t>
      </w:r>
      <w:r w:rsidRPr="005824CB">
        <w:rPr>
          <w:color w:val="auto"/>
        </w:rPr>
        <w:t xml:space="preserve"> u odnosu na plan za 20</w:t>
      </w:r>
      <w:r w:rsidR="001974BC">
        <w:rPr>
          <w:color w:val="auto"/>
        </w:rPr>
        <w:t>20</w:t>
      </w:r>
      <w:r w:rsidRPr="005824CB">
        <w:rPr>
          <w:color w:val="auto"/>
        </w:rPr>
        <w:t xml:space="preserve">. godinu ili </w:t>
      </w:r>
      <w:r w:rsidR="001974BC">
        <w:rPr>
          <w:color w:val="auto"/>
        </w:rPr>
        <w:t>986.730</w:t>
      </w:r>
      <w:r w:rsidRPr="005824CB">
        <w:rPr>
          <w:color w:val="auto"/>
        </w:rPr>
        <w:t xml:space="preserve"> KM </w:t>
      </w:r>
      <w:r w:rsidR="001974BC">
        <w:rPr>
          <w:color w:val="auto"/>
        </w:rPr>
        <w:t>manje</w:t>
      </w:r>
      <w:r w:rsidRPr="005824CB">
        <w:rPr>
          <w:color w:val="auto"/>
        </w:rPr>
        <w:t>. Učešće poreznih prihoda u ukupno planiranim prihodima</w:t>
      </w:r>
      <w:r w:rsidR="007E4E3B" w:rsidRPr="005824CB">
        <w:rPr>
          <w:color w:val="auto"/>
        </w:rPr>
        <w:t>,</w:t>
      </w:r>
      <w:r w:rsidRPr="005824CB">
        <w:rPr>
          <w:color w:val="auto"/>
        </w:rPr>
        <w:t xml:space="preserve"> primicima</w:t>
      </w:r>
      <w:r w:rsidR="007E4E3B" w:rsidRPr="005824CB">
        <w:rPr>
          <w:color w:val="auto"/>
        </w:rPr>
        <w:t xml:space="preserve"> i financiranju</w:t>
      </w:r>
      <w:r w:rsidRPr="005824CB">
        <w:rPr>
          <w:color w:val="auto"/>
        </w:rPr>
        <w:t xml:space="preserve"> Proračuna iznosi </w:t>
      </w:r>
      <w:r w:rsidR="0060280C">
        <w:rPr>
          <w:color w:val="auto"/>
        </w:rPr>
        <w:t>70,47</w:t>
      </w:r>
      <w:r w:rsidRPr="005824CB">
        <w:rPr>
          <w:color w:val="auto"/>
        </w:rPr>
        <w:t>%.</w:t>
      </w:r>
    </w:p>
    <w:p w:rsidR="00CA1958" w:rsidRPr="005824CB" w:rsidRDefault="00CA1958">
      <w:pPr>
        <w:pStyle w:val="Uvuenotijeloteksta"/>
        <w:spacing w:line="240" w:lineRule="auto"/>
        <w:ind w:firstLine="0"/>
      </w:pPr>
    </w:p>
    <w:p w:rsidR="00CA1958" w:rsidRPr="005824CB" w:rsidRDefault="00CA1958">
      <w:pPr>
        <w:pStyle w:val="Naslov3"/>
        <w:ind w:firstLine="720"/>
        <w:jc w:val="both"/>
      </w:pPr>
      <w:r w:rsidRPr="005824CB">
        <w:t>Porez na dobit pojedinaca i poduzeća</w:t>
      </w:r>
    </w:p>
    <w:p w:rsidR="00CA1958" w:rsidRPr="005824CB" w:rsidRDefault="00CA1958">
      <w:pPr>
        <w:pStyle w:val="Uvuenotijeloteksta"/>
        <w:spacing w:line="240" w:lineRule="auto"/>
      </w:pPr>
      <w:r w:rsidRPr="005824CB">
        <w:t xml:space="preserve">Prihodi po osnovi poreza na dobit pojedinaca i poreza na dobit poduzeća (potkategorija 711000) planirani su u iznosu od </w:t>
      </w:r>
      <w:r w:rsidR="0060280C">
        <w:t>2.681.680</w:t>
      </w:r>
      <w:r w:rsidRPr="005824CB">
        <w:t xml:space="preserve"> KM</w:t>
      </w:r>
      <w:r w:rsidR="000C206D">
        <w:t>,</w:t>
      </w:r>
      <w:r w:rsidRPr="005824CB">
        <w:t xml:space="preserve"> što je za </w:t>
      </w:r>
      <w:r w:rsidR="0060280C">
        <w:t>6,37</w:t>
      </w:r>
      <w:r w:rsidRPr="005824CB">
        <w:t xml:space="preserve">% </w:t>
      </w:r>
      <w:r w:rsidR="0060280C">
        <w:t>manje</w:t>
      </w:r>
      <w:r w:rsidRPr="005824CB">
        <w:t xml:space="preserve"> u odnosu na planirane </w:t>
      </w:r>
      <w:r w:rsidR="0060280C">
        <w:t xml:space="preserve">u </w:t>
      </w:r>
      <w:r w:rsidRPr="005824CB">
        <w:t>Proračun</w:t>
      </w:r>
      <w:r w:rsidR="0060280C">
        <w:t>u</w:t>
      </w:r>
      <w:r w:rsidRPr="005824CB">
        <w:t xml:space="preserve"> za 20</w:t>
      </w:r>
      <w:r w:rsidR="0060280C">
        <w:t>20</w:t>
      </w:r>
      <w:r w:rsidRPr="005824CB">
        <w:t>. godinu</w:t>
      </w:r>
      <w:r w:rsidR="000C206D">
        <w:t>,</w:t>
      </w:r>
      <w:r w:rsidRPr="005824CB">
        <w:t xml:space="preserve"> ili u apsolutnom iznosu </w:t>
      </w:r>
      <w:r w:rsidR="0060280C">
        <w:t>182.380</w:t>
      </w:r>
      <w:r w:rsidRPr="005824CB">
        <w:t xml:space="preserve"> KM </w:t>
      </w:r>
      <w:r w:rsidR="0060280C">
        <w:t>manje</w:t>
      </w:r>
      <w:r w:rsidRPr="005824CB">
        <w:t xml:space="preserve">. Pri planiranju ovih prihoda Ministarstvo financija Županije Posavske se rukovodilo revidiranim projekcijama prihoda </w:t>
      </w:r>
      <w:r w:rsidR="000E78FA" w:rsidRPr="005824CB">
        <w:t>po osnovi neizravnih i izravnih poreza za 20</w:t>
      </w:r>
      <w:r w:rsidR="0060280C">
        <w:t>20</w:t>
      </w:r>
      <w:r w:rsidR="000E78FA" w:rsidRPr="005824CB">
        <w:t>. godinu i plan</w:t>
      </w:r>
      <w:r w:rsidR="005824CB">
        <w:t>om</w:t>
      </w:r>
      <w:r w:rsidR="000E78FA" w:rsidRPr="005824CB">
        <w:t xml:space="preserve"> za razdoblje 20</w:t>
      </w:r>
      <w:r w:rsidR="000C206D">
        <w:t>2</w:t>
      </w:r>
      <w:r w:rsidR="0060280C">
        <w:t>1</w:t>
      </w:r>
      <w:r w:rsidR="000E78FA" w:rsidRPr="005824CB">
        <w:t>-202</w:t>
      </w:r>
      <w:r w:rsidR="0060280C">
        <w:t>3</w:t>
      </w:r>
      <w:r w:rsidR="000E78FA" w:rsidRPr="005824CB">
        <w:t>. godina</w:t>
      </w:r>
      <w:r w:rsidRPr="005824CB">
        <w:t>, koje je izradilo Odjeljenje za makroekonomsku analizu (OMA) Uprave za neizravno oporezivanje BiH</w:t>
      </w:r>
      <w:r w:rsidR="000E78FA" w:rsidRPr="005824CB">
        <w:t xml:space="preserve"> </w:t>
      </w:r>
      <w:r w:rsidR="00F97354" w:rsidRPr="005824CB">
        <w:t xml:space="preserve">u </w:t>
      </w:r>
      <w:r w:rsidR="000C206D">
        <w:t>rujnu/</w:t>
      </w:r>
      <w:r w:rsidR="00F97354" w:rsidRPr="005824CB">
        <w:t>listopadu 20</w:t>
      </w:r>
      <w:r w:rsidR="0060280C">
        <w:t>20</w:t>
      </w:r>
      <w:r w:rsidR="00F97354" w:rsidRPr="005824CB">
        <w:t>. godine</w:t>
      </w:r>
      <w:r w:rsidRPr="005824CB">
        <w:t>, kao i preliminarnim izvršenjem za fiskalnu 20</w:t>
      </w:r>
      <w:r w:rsidR="0060280C">
        <w:t>20</w:t>
      </w:r>
      <w:r w:rsidRPr="005824CB">
        <w:t>. godinu.</w:t>
      </w:r>
    </w:p>
    <w:p w:rsidR="00CA1958" w:rsidRPr="005824CB" w:rsidRDefault="00CA1958">
      <w:pPr>
        <w:pStyle w:val="Uvuenotijeloteksta"/>
        <w:spacing w:line="240" w:lineRule="auto"/>
        <w:rPr>
          <w:sz w:val="16"/>
          <w:szCs w:val="16"/>
        </w:rPr>
      </w:pPr>
    </w:p>
    <w:p w:rsidR="00CA1958" w:rsidRPr="005824CB" w:rsidRDefault="00CA1958">
      <w:pPr>
        <w:pStyle w:val="Naslov3"/>
        <w:ind w:firstLine="720"/>
        <w:jc w:val="both"/>
      </w:pPr>
      <w:r w:rsidRPr="005824CB">
        <w:t>Porez na plaću i radnu snagu</w:t>
      </w:r>
    </w:p>
    <w:p w:rsidR="00CA1958" w:rsidRDefault="00CA1958">
      <w:pPr>
        <w:pStyle w:val="Tijeloteksta"/>
        <w:ind w:firstLine="720"/>
      </w:pPr>
      <w:r w:rsidRPr="005824CB">
        <w:t xml:space="preserve">Porezi na plaću i radnu snagu (potkategorija 713000) planirani su u iznosu od </w:t>
      </w:r>
      <w:r w:rsidR="0060280C">
        <w:t>1.430</w:t>
      </w:r>
      <w:r w:rsidRPr="005824CB">
        <w:t xml:space="preserve"> KM na osnovi preliminarnog izvršenja u fiskalnoj 20</w:t>
      </w:r>
      <w:r w:rsidR="0060280C">
        <w:t>20</w:t>
      </w:r>
      <w:r w:rsidRPr="005824CB">
        <w:t>. godini, kao i kretanja izvršenja u razdoblju 201</w:t>
      </w:r>
      <w:r w:rsidR="0060280C">
        <w:t>5</w:t>
      </w:r>
      <w:r w:rsidRPr="005824CB">
        <w:t>.-201</w:t>
      </w:r>
      <w:r w:rsidR="0060280C">
        <w:t>9</w:t>
      </w:r>
      <w:r w:rsidRPr="005824CB">
        <w:t xml:space="preserve">. godina, odnosno ne temelju izmirenja obveza iz prethodnih godina budući je od 01.01.2009. godine na snazi Zakon o porezu na dohodak («Službene novine Federacije BiH» broj: 10/08, 9/10, 44/11, 7/13 i 65/13). Proračunom planirani prihodi od poreza na plaću i radnu snagu </w:t>
      </w:r>
      <w:r w:rsidR="00A91B33" w:rsidRPr="005824CB">
        <w:t>manji</w:t>
      </w:r>
      <w:r w:rsidRPr="005824CB">
        <w:t xml:space="preserve"> su od plana za 20</w:t>
      </w:r>
      <w:r w:rsidR="0060280C">
        <w:t>20</w:t>
      </w:r>
      <w:r w:rsidRPr="005824CB">
        <w:t xml:space="preserve">. godinu za </w:t>
      </w:r>
      <w:r w:rsidR="0060280C">
        <w:t>7,14</w:t>
      </w:r>
      <w:r w:rsidRPr="005824CB">
        <w:t xml:space="preserve">% ili </w:t>
      </w:r>
      <w:r w:rsidR="00A91B33" w:rsidRPr="005824CB">
        <w:t>manji</w:t>
      </w:r>
      <w:r w:rsidRPr="005824CB">
        <w:t xml:space="preserve"> za </w:t>
      </w:r>
      <w:r w:rsidR="0060280C">
        <w:t>110</w:t>
      </w:r>
      <w:r w:rsidRPr="005824CB">
        <w:t xml:space="preserve"> KM.</w:t>
      </w:r>
    </w:p>
    <w:p w:rsidR="00F354BB" w:rsidRPr="005824CB" w:rsidRDefault="00F354BB">
      <w:pPr>
        <w:pStyle w:val="Tijeloteksta"/>
        <w:ind w:firstLine="720"/>
      </w:pPr>
    </w:p>
    <w:p w:rsidR="00CA1958" w:rsidRPr="005824CB" w:rsidRDefault="00CA1958">
      <w:pPr>
        <w:pStyle w:val="Naslov3"/>
        <w:ind w:firstLine="720"/>
        <w:jc w:val="both"/>
      </w:pPr>
      <w:r w:rsidRPr="005824CB">
        <w:lastRenderedPageBreak/>
        <w:t>Porez na imovinu</w:t>
      </w:r>
    </w:p>
    <w:p w:rsidR="00CA1958" w:rsidRPr="005824CB" w:rsidRDefault="00CA1958">
      <w:pPr>
        <w:pStyle w:val="Uvuenotijeloteksta"/>
        <w:spacing w:line="240" w:lineRule="auto"/>
      </w:pPr>
      <w:r w:rsidRPr="005824CB">
        <w:t xml:space="preserve">Prihodi od poreza na imovinu (potkategorija 714000) su planirani u iznosu od </w:t>
      </w:r>
      <w:r w:rsidR="001A4B62">
        <w:t>176.640</w:t>
      </w:r>
      <w:r w:rsidRPr="005824CB">
        <w:t xml:space="preserve"> KM i </w:t>
      </w:r>
      <w:r w:rsidR="001A4B62">
        <w:t>veći</w:t>
      </w:r>
      <w:r w:rsidRPr="005824CB">
        <w:t xml:space="preserve"> su od plana prethodne godine za </w:t>
      </w:r>
      <w:r w:rsidR="001A4B62">
        <w:t>0,19</w:t>
      </w:r>
      <w:r w:rsidRPr="005824CB">
        <w:t>%</w:t>
      </w:r>
      <w:r w:rsidR="000C206D">
        <w:t>,</w:t>
      </w:r>
      <w:r w:rsidRPr="005824CB">
        <w:t xml:space="preserve"> odnosno u apsolutnom iznosu </w:t>
      </w:r>
      <w:r w:rsidR="001A4B62">
        <w:t>veći</w:t>
      </w:r>
      <w:r w:rsidRPr="005824CB">
        <w:t xml:space="preserve"> za </w:t>
      </w:r>
      <w:r w:rsidR="001A4B62">
        <w:t>340</w:t>
      </w:r>
      <w:r w:rsidRPr="005824CB">
        <w:t xml:space="preserve"> KM. Projekcija se temelji na izvrše</w:t>
      </w:r>
      <w:r w:rsidR="001A4B62">
        <w:t>nju ovih prihoda u fiskalnoj 2020</w:t>
      </w:r>
      <w:r w:rsidRPr="005824CB">
        <w:t>. godini</w:t>
      </w:r>
      <w:r w:rsidR="001A4B62">
        <w:t>.</w:t>
      </w:r>
    </w:p>
    <w:p w:rsidR="00CA1958" w:rsidRPr="005824CB" w:rsidRDefault="00CA1958">
      <w:pPr>
        <w:pStyle w:val="Uvuenotijeloteksta"/>
        <w:spacing w:line="240" w:lineRule="auto"/>
        <w:ind w:firstLine="0"/>
        <w:rPr>
          <w:color w:val="99CCFF"/>
        </w:rPr>
      </w:pPr>
    </w:p>
    <w:p w:rsidR="00CA1958" w:rsidRPr="005824CB" w:rsidRDefault="00CA1958">
      <w:pPr>
        <w:ind w:firstLine="720"/>
        <w:jc w:val="both"/>
        <w:rPr>
          <w:b/>
          <w:bCs/>
          <w:lang w:val="hr-HR"/>
        </w:rPr>
      </w:pPr>
      <w:r w:rsidRPr="005824CB">
        <w:rPr>
          <w:b/>
          <w:bCs/>
          <w:lang w:val="hr-HR"/>
        </w:rPr>
        <w:t>Domaći porezi na dobra i usluge</w:t>
      </w:r>
    </w:p>
    <w:p w:rsidR="00CA1958" w:rsidRPr="005824CB" w:rsidRDefault="00CA1958">
      <w:pPr>
        <w:autoSpaceDE w:val="0"/>
        <w:autoSpaceDN w:val="0"/>
        <w:adjustRightInd w:val="0"/>
        <w:ind w:firstLine="720"/>
        <w:jc w:val="both"/>
        <w:rPr>
          <w:lang w:val="hr-HR"/>
        </w:rPr>
      </w:pPr>
      <w:r w:rsidRPr="005824CB">
        <w:rPr>
          <w:lang w:val="hr-HR"/>
        </w:rPr>
        <w:t xml:space="preserve">Prihodi od domaćih poreza na dobra i usluge (potkategorija 715000) – zaostale obveze na temelju poreza na promet dobara i usluga - planirani su u iznosu od </w:t>
      </w:r>
      <w:r w:rsidR="001A4B62">
        <w:rPr>
          <w:lang w:val="hr-HR"/>
        </w:rPr>
        <w:t>2.490</w:t>
      </w:r>
      <w:r w:rsidRPr="005824CB">
        <w:rPr>
          <w:lang w:val="hr-HR"/>
        </w:rPr>
        <w:t xml:space="preserve"> KM, odnosno u apsolutnom iznosu </w:t>
      </w:r>
      <w:r w:rsidR="001A4B62">
        <w:rPr>
          <w:lang w:val="hr-HR"/>
        </w:rPr>
        <w:t>15.420</w:t>
      </w:r>
      <w:r w:rsidRPr="005824CB">
        <w:rPr>
          <w:lang w:val="hr-HR"/>
        </w:rPr>
        <w:t xml:space="preserve"> KM </w:t>
      </w:r>
      <w:r w:rsidR="007D6908">
        <w:rPr>
          <w:lang w:val="hr-HR"/>
        </w:rPr>
        <w:t>manje</w:t>
      </w:r>
      <w:r w:rsidRPr="005824CB">
        <w:rPr>
          <w:lang w:val="hr-HR"/>
        </w:rPr>
        <w:t xml:space="preserve"> nego u odnosu na planirano u 20</w:t>
      </w:r>
      <w:r w:rsidR="001A4B62">
        <w:rPr>
          <w:lang w:val="hr-HR"/>
        </w:rPr>
        <w:t>20</w:t>
      </w:r>
      <w:r w:rsidRPr="005824CB">
        <w:rPr>
          <w:lang w:val="hr-HR"/>
        </w:rPr>
        <w:t>. godini (</w:t>
      </w:r>
      <w:r w:rsidR="001A4B62">
        <w:rPr>
          <w:lang w:val="hr-HR"/>
        </w:rPr>
        <w:t>86,10</w:t>
      </w:r>
      <w:r w:rsidRPr="005824CB">
        <w:rPr>
          <w:lang w:val="hr-HR"/>
        </w:rPr>
        <w:t xml:space="preserve">% </w:t>
      </w:r>
      <w:r w:rsidR="007D6908">
        <w:rPr>
          <w:lang w:val="hr-HR"/>
        </w:rPr>
        <w:t>manje</w:t>
      </w:r>
      <w:r w:rsidRPr="005824CB">
        <w:rPr>
          <w:lang w:val="hr-HR"/>
        </w:rPr>
        <w:t>). Porezne prihode po osnov</w:t>
      </w:r>
      <w:r w:rsidR="00A91B33" w:rsidRPr="005824CB">
        <w:rPr>
          <w:lang w:val="hr-HR"/>
        </w:rPr>
        <w:t>i</w:t>
      </w:r>
      <w:r w:rsidRPr="005824CB">
        <w:rPr>
          <w:lang w:val="hr-HR"/>
        </w:rPr>
        <w:t xml:space="preserve"> poreza na promet visokotarifnih roba i određenih proizvoda, porez na promet tarifnog broj 1. i 2. i porez na promet usluga od 01.01.2006.godine zamjenjuju prihodi od neizravnih poreza. </w:t>
      </w:r>
    </w:p>
    <w:p w:rsidR="00581DC1" w:rsidRPr="005824CB" w:rsidRDefault="00581DC1">
      <w:pPr>
        <w:autoSpaceDE w:val="0"/>
        <w:autoSpaceDN w:val="0"/>
        <w:adjustRightInd w:val="0"/>
        <w:ind w:firstLine="720"/>
        <w:jc w:val="both"/>
        <w:rPr>
          <w:lang w:val="hr-HR"/>
        </w:rPr>
      </w:pPr>
    </w:p>
    <w:p w:rsidR="00CA1958" w:rsidRPr="005824CB" w:rsidRDefault="00CA1958">
      <w:pPr>
        <w:pStyle w:val="Naslov3"/>
        <w:ind w:firstLine="720"/>
        <w:jc w:val="both"/>
      </w:pPr>
      <w:r w:rsidRPr="005824CB">
        <w:t>Porez na dohodak</w:t>
      </w:r>
    </w:p>
    <w:p w:rsidR="00CA1958" w:rsidRPr="005824CB" w:rsidRDefault="00CA1958">
      <w:pPr>
        <w:pStyle w:val="Naslov3"/>
        <w:ind w:firstLine="720"/>
        <w:jc w:val="both"/>
        <w:rPr>
          <w:b w:val="0"/>
          <w:bCs w:val="0"/>
        </w:rPr>
      </w:pPr>
      <w:r w:rsidRPr="005824CB">
        <w:rPr>
          <w:b w:val="0"/>
          <w:bCs w:val="0"/>
        </w:rPr>
        <w:t xml:space="preserve">Prihodi po osnovi poreza na dohodak (potkategorija 716000) </w:t>
      </w:r>
      <w:r w:rsidRPr="005824CB">
        <w:rPr>
          <w:b w:val="0"/>
        </w:rPr>
        <w:t xml:space="preserve">planirani su u iznosu od </w:t>
      </w:r>
      <w:r w:rsidR="007D6908">
        <w:rPr>
          <w:b w:val="0"/>
        </w:rPr>
        <w:t>3.</w:t>
      </w:r>
      <w:r w:rsidR="001A4B62">
        <w:rPr>
          <w:b w:val="0"/>
        </w:rPr>
        <w:t>001</w:t>
      </w:r>
      <w:r w:rsidR="007D6908">
        <w:rPr>
          <w:b w:val="0"/>
        </w:rPr>
        <w:t>.</w:t>
      </w:r>
      <w:r w:rsidR="001A4B62">
        <w:rPr>
          <w:b w:val="0"/>
        </w:rPr>
        <w:t>390</w:t>
      </w:r>
      <w:r w:rsidRPr="005824CB">
        <w:rPr>
          <w:b w:val="0"/>
        </w:rPr>
        <w:t xml:space="preserve"> KM što je za </w:t>
      </w:r>
      <w:r w:rsidR="001A4B62">
        <w:rPr>
          <w:b w:val="0"/>
        </w:rPr>
        <w:t>1,42</w:t>
      </w:r>
      <w:r w:rsidRPr="005824CB">
        <w:rPr>
          <w:b w:val="0"/>
        </w:rPr>
        <w:t>% više u odnosu na plan prethodne godine</w:t>
      </w:r>
      <w:r w:rsidR="007D6908">
        <w:rPr>
          <w:b w:val="0"/>
        </w:rPr>
        <w:t>,</w:t>
      </w:r>
      <w:r w:rsidRPr="005824CB">
        <w:rPr>
          <w:b w:val="0"/>
        </w:rPr>
        <w:t xml:space="preserve"> ili u apsolutnom iznosu </w:t>
      </w:r>
      <w:r w:rsidR="001A4B62">
        <w:rPr>
          <w:b w:val="0"/>
        </w:rPr>
        <w:t>41.960</w:t>
      </w:r>
      <w:r w:rsidRPr="005824CB">
        <w:rPr>
          <w:b w:val="0"/>
        </w:rPr>
        <w:t xml:space="preserve"> KM više. Pri planiranju ovih prihoda Ministarstvo financija Županije Posavske se rukovodilo </w:t>
      </w:r>
      <w:r w:rsidR="00F97354" w:rsidRPr="005824CB">
        <w:rPr>
          <w:b w:val="0"/>
        </w:rPr>
        <w:t>revidiranim projekcijama prihoda po osnovi neizravnih i izravnih poreza za 20</w:t>
      </w:r>
      <w:r w:rsidR="00B5105A">
        <w:rPr>
          <w:b w:val="0"/>
        </w:rPr>
        <w:t>20</w:t>
      </w:r>
      <w:r w:rsidR="00F97354" w:rsidRPr="005824CB">
        <w:rPr>
          <w:b w:val="0"/>
        </w:rPr>
        <w:t>. godinu i plan</w:t>
      </w:r>
      <w:r w:rsidR="005824CB">
        <w:rPr>
          <w:b w:val="0"/>
        </w:rPr>
        <w:t>om</w:t>
      </w:r>
      <w:r w:rsidR="00F97354" w:rsidRPr="005824CB">
        <w:rPr>
          <w:b w:val="0"/>
        </w:rPr>
        <w:t xml:space="preserve"> za razdoblje 20</w:t>
      </w:r>
      <w:r w:rsidR="007D6908">
        <w:rPr>
          <w:b w:val="0"/>
        </w:rPr>
        <w:t>2</w:t>
      </w:r>
      <w:r w:rsidR="00B5105A">
        <w:rPr>
          <w:b w:val="0"/>
        </w:rPr>
        <w:t>1</w:t>
      </w:r>
      <w:r w:rsidR="003344E8">
        <w:rPr>
          <w:b w:val="0"/>
        </w:rPr>
        <w:t>.</w:t>
      </w:r>
      <w:r w:rsidR="00F97354" w:rsidRPr="005824CB">
        <w:rPr>
          <w:b w:val="0"/>
        </w:rPr>
        <w:t>-202</w:t>
      </w:r>
      <w:r w:rsidR="00B5105A">
        <w:rPr>
          <w:b w:val="0"/>
        </w:rPr>
        <w:t>3</w:t>
      </w:r>
      <w:r w:rsidR="00F97354" w:rsidRPr="005824CB">
        <w:rPr>
          <w:b w:val="0"/>
        </w:rPr>
        <w:t xml:space="preserve">. godina, koje je izradilo Odjeljenje za makroekonomsku analizu (OMA) Uprave za neizravno oporezivanje BiH u </w:t>
      </w:r>
      <w:r w:rsidR="007D6908">
        <w:rPr>
          <w:b w:val="0"/>
        </w:rPr>
        <w:t>rujnu/</w:t>
      </w:r>
      <w:r w:rsidR="00F97354" w:rsidRPr="005824CB">
        <w:rPr>
          <w:b w:val="0"/>
        </w:rPr>
        <w:t>listopadu 20</w:t>
      </w:r>
      <w:r w:rsidR="00B5105A">
        <w:rPr>
          <w:b w:val="0"/>
        </w:rPr>
        <w:t>20</w:t>
      </w:r>
      <w:r w:rsidR="00F97354" w:rsidRPr="005824CB">
        <w:rPr>
          <w:b w:val="0"/>
        </w:rPr>
        <w:t>. godine</w:t>
      </w:r>
      <w:r w:rsidRPr="005824CB">
        <w:rPr>
          <w:b w:val="0"/>
        </w:rPr>
        <w:t xml:space="preserve">, kao i </w:t>
      </w:r>
      <w:r w:rsidR="007A71FA" w:rsidRPr="005824CB">
        <w:rPr>
          <w:b w:val="0"/>
        </w:rPr>
        <w:t xml:space="preserve">preliminarnim </w:t>
      </w:r>
      <w:r w:rsidRPr="005824CB">
        <w:rPr>
          <w:b w:val="0"/>
        </w:rPr>
        <w:t>izvršenjem u fiskalnoj 20</w:t>
      </w:r>
      <w:r w:rsidR="00B5105A">
        <w:rPr>
          <w:b w:val="0"/>
        </w:rPr>
        <w:t>20</w:t>
      </w:r>
      <w:r w:rsidRPr="005824CB">
        <w:rPr>
          <w:b w:val="0"/>
        </w:rPr>
        <w:t>. godini.</w:t>
      </w:r>
    </w:p>
    <w:p w:rsidR="00CA1958" w:rsidRPr="005824CB" w:rsidRDefault="00CA1958">
      <w:pPr>
        <w:pStyle w:val="Naslov3"/>
        <w:jc w:val="both"/>
        <w:rPr>
          <w:sz w:val="16"/>
          <w:szCs w:val="16"/>
        </w:rPr>
      </w:pPr>
    </w:p>
    <w:p w:rsidR="00CA1958" w:rsidRPr="005824CB" w:rsidRDefault="00CA1958">
      <w:pPr>
        <w:pStyle w:val="Naslov3"/>
        <w:ind w:firstLine="720"/>
        <w:jc w:val="both"/>
      </w:pPr>
      <w:r w:rsidRPr="005824CB">
        <w:t>Prihodi od neizravnih poreza</w:t>
      </w:r>
    </w:p>
    <w:p w:rsidR="00CA1958" w:rsidRPr="005824CB" w:rsidRDefault="00CA1958">
      <w:pPr>
        <w:pStyle w:val="Default"/>
        <w:ind w:firstLine="720"/>
        <w:jc w:val="both"/>
      </w:pPr>
      <w:r w:rsidRPr="005824CB">
        <w:t xml:space="preserve">Prihodi od neizravnih poreza (potkategorija 717000) planirani su u visini od </w:t>
      </w:r>
      <w:r w:rsidR="00B5105A">
        <w:t>25.500.280</w:t>
      </w:r>
      <w:r w:rsidRPr="005824CB">
        <w:t xml:space="preserve"> KM, što je </w:t>
      </w:r>
      <w:r w:rsidR="00B5105A">
        <w:t>smanjenje</w:t>
      </w:r>
      <w:r w:rsidRPr="005824CB">
        <w:t xml:space="preserve"> od </w:t>
      </w:r>
      <w:r w:rsidR="00B5105A">
        <w:t>3,16</w:t>
      </w:r>
      <w:r w:rsidRPr="005824CB">
        <w:t xml:space="preserve">% u odnosu na plan prethodne godine, odnosno u apsolutnom iznosu </w:t>
      </w:r>
      <w:r w:rsidR="00B5105A">
        <w:t>smanjenje</w:t>
      </w:r>
      <w:r w:rsidRPr="005824CB">
        <w:t xml:space="preserve"> za </w:t>
      </w:r>
      <w:r w:rsidR="00B5105A">
        <w:t>831.120</w:t>
      </w:r>
      <w:r w:rsidR="00126FC3" w:rsidRPr="005824CB">
        <w:t xml:space="preserve"> KM.</w:t>
      </w:r>
      <w:r w:rsidR="00E23612">
        <w:t xml:space="preserve"> Obzirom da je u 2020. godini ovoj skupini prihoda pridodan iznos od ukupno 1.015.270 KM razgraničenih prihoda iz prethodnih razdoblja, te da se u 2021. godini planira iznos od 43.630 KM razgraničenih prihoda iz prethodnih razdoblja, te uspoređujući isključivo plan realizacije za 2021. godinu sa planom za 2020. godinu, očekuje se rast ove skupine prihoda za 0,56%.</w:t>
      </w:r>
    </w:p>
    <w:p w:rsidR="00177809" w:rsidRDefault="00126FC3" w:rsidP="00126FC3">
      <w:pPr>
        <w:autoSpaceDE w:val="0"/>
        <w:autoSpaceDN w:val="0"/>
        <w:adjustRightInd w:val="0"/>
        <w:ind w:firstLine="720"/>
        <w:jc w:val="both"/>
        <w:rPr>
          <w:lang w:val="hr-HR"/>
        </w:rPr>
      </w:pPr>
      <w:r w:rsidRPr="00177809">
        <w:rPr>
          <w:lang w:val="hr-HR"/>
        </w:rPr>
        <w:t>Projicirani dio prihoda</w:t>
      </w:r>
      <w:r w:rsidR="00177809" w:rsidRPr="00177809">
        <w:rPr>
          <w:lang w:val="hr-HR"/>
        </w:rPr>
        <w:t xml:space="preserve"> od neizravnih poreza na ime financiranja autocesta u </w:t>
      </w:r>
      <w:proofErr w:type="spellStart"/>
      <w:r w:rsidR="00177809" w:rsidRPr="00177809">
        <w:rPr>
          <w:lang w:val="hr-HR"/>
        </w:rPr>
        <w:t>FBiH</w:t>
      </w:r>
      <w:proofErr w:type="spellEnd"/>
      <w:r w:rsidR="00177809" w:rsidRPr="00177809">
        <w:rPr>
          <w:lang w:val="hr-HR"/>
        </w:rPr>
        <w:t xml:space="preserve"> (analitički konto 717114) iznosi 281.230 KM, čemu je za potrebe potrošnje u razdjelu Ministarstva prometa, veza i zaštite okoliša Županije Posavske u 2021. godini, pridodan iznos od 43.630 KM ovih prihoda ostvarenih u prethodnim razdobljima i razgraničenih za buduću namjensku potrošnju. </w:t>
      </w:r>
      <w:r w:rsidR="00177809">
        <w:rPr>
          <w:lang w:val="hr-HR"/>
        </w:rPr>
        <w:t>Planirano ostvarenje ovih prihoda u 2021. godini u odnosu na plan za 2020. godinu veće je za 2,50%, odnosno za 6.860 KM (ne uključujući planirana razgraničenja).</w:t>
      </w:r>
    </w:p>
    <w:p w:rsidR="00177809" w:rsidRPr="00177809" w:rsidRDefault="00177809" w:rsidP="00126FC3">
      <w:pPr>
        <w:autoSpaceDE w:val="0"/>
        <w:autoSpaceDN w:val="0"/>
        <w:adjustRightInd w:val="0"/>
        <w:ind w:firstLine="720"/>
        <w:jc w:val="both"/>
        <w:rPr>
          <w:lang w:val="hr-HR"/>
        </w:rPr>
      </w:pPr>
      <w:r>
        <w:rPr>
          <w:lang w:val="hr-HR"/>
        </w:rPr>
        <w:t xml:space="preserve">Prihodi od neizravnih poreza koji pripadaju županijama (analitički konto 717121) planirani su u iznosu od 24.479.400 KM, što je 0,48% više od plana ovih prihoda za 2020. godinu, odnosno 117.520 KM više. </w:t>
      </w:r>
    </w:p>
    <w:p w:rsidR="00177809" w:rsidRPr="00E23612" w:rsidRDefault="00E23612" w:rsidP="00126FC3">
      <w:pPr>
        <w:autoSpaceDE w:val="0"/>
        <w:autoSpaceDN w:val="0"/>
        <w:adjustRightInd w:val="0"/>
        <w:ind w:firstLine="720"/>
        <w:jc w:val="both"/>
        <w:rPr>
          <w:lang w:val="hr-HR"/>
        </w:rPr>
      </w:pPr>
      <w:r w:rsidRPr="00E23612">
        <w:rPr>
          <w:lang w:val="hr-HR"/>
        </w:rPr>
        <w:t>Planirani prihodi od neizravnih poreza koji pripadaju Direkciji cesta (analitički konto 717131) u 2021. godini iznose 696.020 KM, što je 2,37% više u odnosu na njihov plan iz 2020. godine, odnosno 16.140 KM više.</w:t>
      </w:r>
    </w:p>
    <w:p w:rsidR="00CA1958" w:rsidRPr="005824CB" w:rsidRDefault="00CA1958">
      <w:pPr>
        <w:autoSpaceDE w:val="0"/>
        <w:autoSpaceDN w:val="0"/>
        <w:adjustRightInd w:val="0"/>
        <w:ind w:firstLine="720"/>
        <w:jc w:val="both"/>
        <w:rPr>
          <w:lang w:val="hr-HR"/>
        </w:rPr>
      </w:pPr>
      <w:r w:rsidRPr="005824CB">
        <w:rPr>
          <w:lang w:val="hr-HR"/>
        </w:rPr>
        <w:t>Plan prihoda od neizravnih poreza Županije Posavske u 20</w:t>
      </w:r>
      <w:r w:rsidR="007D6908">
        <w:rPr>
          <w:lang w:val="hr-HR"/>
        </w:rPr>
        <w:t>2</w:t>
      </w:r>
      <w:r w:rsidR="00E23612">
        <w:rPr>
          <w:lang w:val="hr-HR"/>
        </w:rPr>
        <w:t>1</w:t>
      </w:r>
      <w:r w:rsidRPr="005824CB">
        <w:rPr>
          <w:lang w:val="hr-HR"/>
        </w:rPr>
        <w:t xml:space="preserve">. godini zasniva se na projekcijama čiji je izračun utemeljen na makroekonomskim pokazateljima izrađenim od strane Direkcije za ekonomsko planiranje BiH (DEP), </w:t>
      </w:r>
      <w:r w:rsidR="00F97354" w:rsidRPr="005824CB">
        <w:rPr>
          <w:lang w:val="hr-HR"/>
        </w:rPr>
        <w:t>revidiranim projekcijama prihoda po osnovi neizravnih i izravnih poreza za 20</w:t>
      </w:r>
      <w:r w:rsidR="00177809">
        <w:rPr>
          <w:lang w:val="hr-HR"/>
        </w:rPr>
        <w:t>20</w:t>
      </w:r>
      <w:r w:rsidR="00F97354" w:rsidRPr="005824CB">
        <w:rPr>
          <w:lang w:val="hr-HR"/>
        </w:rPr>
        <w:t>.</w:t>
      </w:r>
      <w:r w:rsidR="007D6908">
        <w:rPr>
          <w:lang w:val="hr-HR"/>
        </w:rPr>
        <w:t xml:space="preserve"> </w:t>
      </w:r>
      <w:r w:rsidR="00F97354" w:rsidRPr="005824CB">
        <w:rPr>
          <w:lang w:val="hr-HR"/>
        </w:rPr>
        <w:t>godinu i plan</w:t>
      </w:r>
      <w:r w:rsidR="005824CB">
        <w:rPr>
          <w:lang w:val="hr-HR"/>
        </w:rPr>
        <w:t>om</w:t>
      </w:r>
      <w:r w:rsidR="007D6908">
        <w:rPr>
          <w:lang w:val="hr-HR"/>
        </w:rPr>
        <w:t xml:space="preserve"> za razdoblje 202</w:t>
      </w:r>
      <w:r w:rsidR="00177809">
        <w:rPr>
          <w:lang w:val="hr-HR"/>
        </w:rPr>
        <w:t>1</w:t>
      </w:r>
      <w:r w:rsidR="002A64A7" w:rsidRPr="005824CB">
        <w:rPr>
          <w:lang w:val="hr-HR"/>
        </w:rPr>
        <w:t>.</w:t>
      </w:r>
      <w:r w:rsidR="00F97354" w:rsidRPr="005824CB">
        <w:rPr>
          <w:lang w:val="hr-HR"/>
        </w:rPr>
        <w:t>-202</w:t>
      </w:r>
      <w:r w:rsidR="00177809">
        <w:rPr>
          <w:lang w:val="hr-HR"/>
        </w:rPr>
        <w:t>3</w:t>
      </w:r>
      <w:r w:rsidR="00F97354" w:rsidRPr="005824CB">
        <w:rPr>
          <w:lang w:val="hr-HR"/>
        </w:rPr>
        <w:t xml:space="preserve">.godina, koje je izradilo Odjeljenje za makroekonomsku analizu (OMA) Uprave za neizravno oporezivanje BiH u </w:t>
      </w:r>
      <w:r w:rsidR="007D6908">
        <w:rPr>
          <w:lang w:val="hr-HR"/>
        </w:rPr>
        <w:t>rujnu/</w:t>
      </w:r>
      <w:r w:rsidR="00F97354" w:rsidRPr="005824CB">
        <w:rPr>
          <w:lang w:val="hr-HR"/>
        </w:rPr>
        <w:t>listopadu 20</w:t>
      </w:r>
      <w:r w:rsidR="00177809">
        <w:rPr>
          <w:lang w:val="hr-HR"/>
        </w:rPr>
        <w:t>20</w:t>
      </w:r>
      <w:r w:rsidR="00F97354" w:rsidRPr="005824CB">
        <w:rPr>
          <w:lang w:val="hr-HR"/>
        </w:rPr>
        <w:t>. godine</w:t>
      </w:r>
      <w:r w:rsidRPr="005824CB">
        <w:rPr>
          <w:lang w:val="hr-HR"/>
        </w:rPr>
        <w:t>, kao i na dinamici iz</w:t>
      </w:r>
      <w:r w:rsidR="00177809">
        <w:rPr>
          <w:lang w:val="hr-HR"/>
        </w:rPr>
        <w:t>vršenja ovih prihoda tijekom 2020</w:t>
      </w:r>
      <w:r w:rsidRPr="005824CB">
        <w:rPr>
          <w:lang w:val="hr-HR"/>
        </w:rPr>
        <w:t>. godine.</w:t>
      </w:r>
      <w:r w:rsidR="002A64A7" w:rsidRPr="005824CB">
        <w:rPr>
          <w:lang w:val="hr-HR"/>
        </w:rPr>
        <w:t xml:space="preserve"> </w:t>
      </w:r>
    </w:p>
    <w:p w:rsidR="00CA1958" w:rsidRPr="005824CB" w:rsidRDefault="00CA1958">
      <w:pPr>
        <w:jc w:val="both"/>
        <w:rPr>
          <w:sz w:val="16"/>
          <w:szCs w:val="16"/>
          <w:lang w:val="hr-HR"/>
        </w:rPr>
      </w:pPr>
    </w:p>
    <w:p w:rsidR="00CA1958" w:rsidRPr="005824CB" w:rsidRDefault="00CA1958">
      <w:pPr>
        <w:pStyle w:val="Naslov3"/>
        <w:ind w:firstLine="720"/>
        <w:jc w:val="both"/>
      </w:pPr>
      <w:r w:rsidRPr="005824CB">
        <w:t>Ostali porezi</w:t>
      </w:r>
    </w:p>
    <w:p w:rsidR="00CA1958" w:rsidRPr="005824CB" w:rsidRDefault="00CA1958">
      <w:pPr>
        <w:pStyle w:val="Tijeloteksta"/>
        <w:ind w:firstLine="720"/>
      </w:pPr>
      <w:r w:rsidRPr="005824CB">
        <w:t>Proračunom za 20</w:t>
      </w:r>
      <w:r w:rsidR="0067020D">
        <w:t>2</w:t>
      </w:r>
      <w:r w:rsidR="00E23612">
        <w:t>1</w:t>
      </w:r>
      <w:r w:rsidRPr="005824CB">
        <w:t xml:space="preserve">. godinu su prihodi po osnovi ostalih poreza (potkategorija 719000) planirani u iznosu od </w:t>
      </w:r>
      <w:r w:rsidR="00E23612">
        <w:t>70</w:t>
      </w:r>
      <w:r w:rsidRPr="005824CB">
        <w:t xml:space="preserve"> KM na temelju izvršenja ovih prihoda u </w:t>
      </w:r>
      <w:r w:rsidR="0054530D">
        <w:t>2020</w:t>
      </w:r>
      <w:r w:rsidRPr="005824CB">
        <w:t>. godi</w:t>
      </w:r>
      <w:r w:rsidR="0054530D">
        <w:t>ni</w:t>
      </w:r>
      <w:r w:rsidRPr="005824CB">
        <w:t>.</w:t>
      </w:r>
    </w:p>
    <w:p w:rsidR="00CA1958" w:rsidRPr="003153A2" w:rsidRDefault="00CA1958">
      <w:pPr>
        <w:pStyle w:val="Uvuenotijeloteksta"/>
        <w:spacing w:line="240" w:lineRule="auto"/>
        <w:jc w:val="left"/>
        <w:rPr>
          <w:b/>
          <w:bCs/>
          <w:color w:val="000000" w:themeColor="text1"/>
        </w:rPr>
      </w:pPr>
      <w:r w:rsidRPr="003153A2">
        <w:rPr>
          <w:b/>
          <w:bCs/>
          <w:color w:val="000000" w:themeColor="text1"/>
        </w:rPr>
        <w:lastRenderedPageBreak/>
        <w:t xml:space="preserve">4.1.2 </w:t>
      </w:r>
      <w:r w:rsidRPr="003153A2">
        <w:rPr>
          <w:b/>
          <w:bCs/>
          <w:color w:val="000000" w:themeColor="text1"/>
        </w:rPr>
        <w:tab/>
        <w:t>NEPOREZNI PRIHODI</w:t>
      </w:r>
    </w:p>
    <w:p w:rsidR="00CA1958" w:rsidRPr="005824CB" w:rsidRDefault="00CA1958">
      <w:pPr>
        <w:pStyle w:val="Uvuenotijeloteksta"/>
        <w:spacing w:line="240" w:lineRule="auto"/>
        <w:ind w:firstLine="0"/>
        <w:jc w:val="left"/>
        <w:rPr>
          <w:b/>
          <w:bCs/>
        </w:rPr>
      </w:pPr>
    </w:p>
    <w:p w:rsidR="00CA1958" w:rsidRPr="005824CB" w:rsidRDefault="00CA1958">
      <w:pPr>
        <w:tabs>
          <w:tab w:val="left" w:pos="0"/>
        </w:tabs>
        <w:jc w:val="both"/>
        <w:rPr>
          <w:lang w:val="hr-HR"/>
        </w:rPr>
      </w:pPr>
      <w:r w:rsidRPr="005824CB">
        <w:rPr>
          <w:b/>
          <w:bCs/>
          <w:lang w:val="hr-HR"/>
        </w:rPr>
        <w:tab/>
      </w:r>
      <w:r w:rsidRPr="005824CB">
        <w:rPr>
          <w:bCs/>
          <w:lang w:val="hr-HR"/>
        </w:rPr>
        <w:t>N</w:t>
      </w:r>
      <w:r w:rsidRPr="005824CB">
        <w:rPr>
          <w:lang w:val="hr-HR"/>
        </w:rPr>
        <w:t>eporezni prihodi (kategorija 720000) su Proračunom za 20</w:t>
      </w:r>
      <w:r w:rsidR="003153A2">
        <w:rPr>
          <w:lang w:val="hr-HR"/>
        </w:rPr>
        <w:t>2</w:t>
      </w:r>
      <w:r w:rsidR="0054530D">
        <w:rPr>
          <w:lang w:val="hr-HR"/>
        </w:rPr>
        <w:t>1</w:t>
      </w:r>
      <w:r w:rsidRPr="005824CB">
        <w:rPr>
          <w:lang w:val="hr-HR"/>
        </w:rPr>
        <w:t xml:space="preserve">. godinu planirani u iznosu od </w:t>
      </w:r>
      <w:r w:rsidR="0054530D">
        <w:rPr>
          <w:lang w:val="hr-HR"/>
        </w:rPr>
        <w:t>2.949.560</w:t>
      </w:r>
      <w:r w:rsidRPr="005824CB">
        <w:rPr>
          <w:lang w:val="hr-HR"/>
        </w:rPr>
        <w:t xml:space="preserve"> KM. U odnosu na plan prethodne godine ovi prihodi su </w:t>
      </w:r>
      <w:r w:rsidR="003153A2">
        <w:rPr>
          <w:lang w:val="hr-HR"/>
        </w:rPr>
        <w:t>veći</w:t>
      </w:r>
      <w:r w:rsidRPr="005824CB">
        <w:rPr>
          <w:lang w:val="hr-HR"/>
        </w:rPr>
        <w:t xml:space="preserve"> za </w:t>
      </w:r>
      <w:r w:rsidR="0054530D">
        <w:rPr>
          <w:lang w:val="hr-HR"/>
        </w:rPr>
        <w:t>7,99</w:t>
      </w:r>
      <w:r w:rsidRPr="005824CB">
        <w:rPr>
          <w:lang w:val="hr-HR"/>
        </w:rPr>
        <w:t xml:space="preserve">% odnosno u apsolutnom iznosu </w:t>
      </w:r>
      <w:r w:rsidR="003153A2">
        <w:rPr>
          <w:lang w:val="hr-HR"/>
        </w:rPr>
        <w:t>veći</w:t>
      </w:r>
      <w:r w:rsidRPr="005824CB">
        <w:rPr>
          <w:lang w:val="hr-HR"/>
        </w:rPr>
        <w:t xml:space="preserve"> za </w:t>
      </w:r>
      <w:r w:rsidR="0054530D">
        <w:rPr>
          <w:lang w:val="hr-HR"/>
        </w:rPr>
        <w:t>218.320</w:t>
      </w:r>
      <w:r w:rsidRPr="005824CB">
        <w:rPr>
          <w:lang w:val="hr-HR"/>
        </w:rPr>
        <w:t xml:space="preserve"> KM.</w:t>
      </w:r>
    </w:p>
    <w:p w:rsidR="00CA1958" w:rsidRPr="005824CB" w:rsidRDefault="00CA1958">
      <w:pPr>
        <w:tabs>
          <w:tab w:val="left" w:pos="0"/>
        </w:tabs>
        <w:jc w:val="both"/>
        <w:rPr>
          <w:sz w:val="16"/>
          <w:szCs w:val="16"/>
          <w:lang w:val="hr-HR"/>
        </w:rPr>
      </w:pPr>
    </w:p>
    <w:p w:rsidR="00CA1958" w:rsidRPr="005824CB" w:rsidRDefault="00CA1958">
      <w:pPr>
        <w:pStyle w:val="Naslov3"/>
        <w:ind w:left="720"/>
        <w:jc w:val="both"/>
      </w:pPr>
      <w:r w:rsidRPr="005824CB">
        <w:t>Prihodi od poduzetničkih aktivnosti i imovine i prihodi od pozitivnih tečajnih razlika</w:t>
      </w:r>
    </w:p>
    <w:p w:rsidR="00CA1958" w:rsidRPr="005824CB" w:rsidRDefault="00CA1958">
      <w:pPr>
        <w:jc w:val="both"/>
        <w:rPr>
          <w:lang w:val="hr-HR"/>
        </w:rPr>
      </w:pPr>
      <w:r w:rsidRPr="005824CB">
        <w:rPr>
          <w:b/>
          <w:bCs/>
          <w:lang w:val="hr-HR"/>
        </w:rPr>
        <w:t xml:space="preserve">          </w:t>
      </w:r>
      <w:r w:rsidRPr="005824CB">
        <w:rPr>
          <w:b/>
          <w:bCs/>
          <w:lang w:val="hr-HR"/>
        </w:rPr>
        <w:tab/>
      </w:r>
      <w:r w:rsidRPr="005824CB">
        <w:rPr>
          <w:lang w:val="hr-HR"/>
        </w:rPr>
        <w:t xml:space="preserve">Prihodi od poduzetničkih aktivnosti i imovine i prihodi od pozitivnih tečajnih razlika (potkategorija 721000) planirani su u visini od </w:t>
      </w:r>
      <w:r w:rsidR="0054530D">
        <w:rPr>
          <w:lang w:val="hr-HR"/>
        </w:rPr>
        <w:t>101</w:t>
      </w:r>
      <w:r w:rsidR="003153A2">
        <w:rPr>
          <w:lang w:val="hr-HR"/>
        </w:rPr>
        <w:t>.</w:t>
      </w:r>
      <w:r w:rsidR="0054530D">
        <w:rPr>
          <w:lang w:val="hr-HR"/>
        </w:rPr>
        <w:t>38</w:t>
      </w:r>
      <w:r w:rsidR="003153A2">
        <w:rPr>
          <w:lang w:val="hr-HR"/>
        </w:rPr>
        <w:t>0</w:t>
      </w:r>
      <w:r w:rsidRPr="005824CB">
        <w:rPr>
          <w:lang w:val="hr-HR"/>
        </w:rPr>
        <w:t xml:space="preserve"> KM. Strukturu gore navedenih prihoda čine planirani prihodi od davanja prava na eksploataciju prirodnih resursa i prihodi od iznajmljivanja zemljišta, prihodi od kamata za depozite u banci</w:t>
      </w:r>
      <w:r w:rsidR="00012805" w:rsidRPr="005824CB">
        <w:rPr>
          <w:lang w:val="hr-HR"/>
        </w:rPr>
        <w:t>,</w:t>
      </w:r>
      <w:r w:rsidRPr="005824CB">
        <w:rPr>
          <w:lang w:val="hr-HR"/>
        </w:rPr>
        <w:t xml:space="preserve"> te prihodi od pozitivnih tečajnih razlika. U odnosu na planirano u 20</w:t>
      </w:r>
      <w:r w:rsidR="0054530D">
        <w:rPr>
          <w:lang w:val="hr-HR"/>
        </w:rPr>
        <w:t>20</w:t>
      </w:r>
      <w:r w:rsidRPr="005824CB">
        <w:rPr>
          <w:lang w:val="hr-HR"/>
        </w:rPr>
        <w:t>. godini u fiskalnoj 20</w:t>
      </w:r>
      <w:r w:rsidR="003153A2">
        <w:rPr>
          <w:lang w:val="hr-HR"/>
        </w:rPr>
        <w:t>2</w:t>
      </w:r>
      <w:r w:rsidR="0054530D">
        <w:rPr>
          <w:lang w:val="hr-HR"/>
        </w:rPr>
        <w:t>1</w:t>
      </w:r>
      <w:r w:rsidRPr="005824CB">
        <w:rPr>
          <w:lang w:val="hr-HR"/>
        </w:rPr>
        <w:t xml:space="preserve">. godini, temeljem realnih pokazatelja, očekuje se </w:t>
      </w:r>
      <w:r w:rsidR="0054530D">
        <w:rPr>
          <w:lang w:val="hr-HR"/>
        </w:rPr>
        <w:t>smanjenje</w:t>
      </w:r>
      <w:r w:rsidRPr="005824CB">
        <w:rPr>
          <w:lang w:val="hr-HR"/>
        </w:rPr>
        <w:t xml:space="preserve"> od </w:t>
      </w:r>
      <w:r w:rsidR="0054530D">
        <w:rPr>
          <w:lang w:val="hr-HR"/>
        </w:rPr>
        <w:t>6,88</w:t>
      </w:r>
      <w:r w:rsidRPr="005824CB">
        <w:rPr>
          <w:lang w:val="hr-HR"/>
        </w:rPr>
        <w:t xml:space="preserve">% ili u apsolutnom iznosu </w:t>
      </w:r>
      <w:r w:rsidR="0054530D">
        <w:rPr>
          <w:lang w:val="hr-HR"/>
        </w:rPr>
        <w:t>smanjenje</w:t>
      </w:r>
      <w:r w:rsidRPr="005824CB">
        <w:rPr>
          <w:lang w:val="hr-HR"/>
        </w:rPr>
        <w:t xml:space="preserve"> za </w:t>
      </w:r>
      <w:r w:rsidR="0054530D">
        <w:rPr>
          <w:lang w:val="hr-HR"/>
        </w:rPr>
        <w:t>7.490</w:t>
      </w:r>
      <w:r w:rsidRPr="005824CB">
        <w:rPr>
          <w:lang w:val="hr-HR"/>
        </w:rPr>
        <w:t xml:space="preserve"> KM, obzirom da se očekuje </w:t>
      </w:r>
      <w:r w:rsidR="0054530D">
        <w:rPr>
          <w:lang w:val="hr-HR"/>
        </w:rPr>
        <w:t>manja</w:t>
      </w:r>
      <w:r w:rsidR="0071255B" w:rsidRPr="005824CB">
        <w:rPr>
          <w:lang w:val="hr-HR"/>
        </w:rPr>
        <w:t xml:space="preserve"> realizacija </w:t>
      </w:r>
      <w:r w:rsidRPr="005824CB">
        <w:rPr>
          <w:lang w:val="hr-HR"/>
        </w:rPr>
        <w:t>prihod</w:t>
      </w:r>
      <w:r w:rsidR="0071255B" w:rsidRPr="005824CB">
        <w:rPr>
          <w:lang w:val="hr-HR"/>
        </w:rPr>
        <w:t>a</w:t>
      </w:r>
      <w:r w:rsidRPr="005824CB">
        <w:rPr>
          <w:lang w:val="hr-HR"/>
        </w:rPr>
        <w:t xml:space="preserve"> Ministarstva poljoprivrede, vodoprivrede i šumarstva</w:t>
      </w:r>
      <w:r w:rsidR="003344E8">
        <w:rPr>
          <w:lang w:val="hr-HR"/>
        </w:rPr>
        <w:t xml:space="preserve"> Županije Posavske</w:t>
      </w:r>
      <w:r w:rsidRPr="005824CB">
        <w:rPr>
          <w:lang w:val="hr-HR"/>
        </w:rPr>
        <w:t xml:space="preserve"> od iznajmljivanja zemljišta</w:t>
      </w:r>
      <w:r w:rsidR="003153A2">
        <w:rPr>
          <w:lang w:val="hr-HR"/>
        </w:rPr>
        <w:t xml:space="preserve"> temeljem sklopljenih ugovora</w:t>
      </w:r>
      <w:r w:rsidRPr="005824CB">
        <w:rPr>
          <w:lang w:val="hr-HR"/>
        </w:rPr>
        <w:t>.</w:t>
      </w:r>
    </w:p>
    <w:p w:rsidR="00CA1958" w:rsidRPr="005824CB" w:rsidRDefault="00CA1958">
      <w:pPr>
        <w:jc w:val="both"/>
        <w:rPr>
          <w:sz w:val="16"/>
          <w:szCs w:val="16"/>
          <w:lang w:val="hr-HR"/>
        </w:rPr>
      </w:pPr>
      <w:r w:rsidRPr="005824CB">
        <w:rPr>
          <w:lang w:val="hr-HR"/>
        </w:rPr>
        <w:t xml:space="preserve"> </w:t>
      </w:r>
    </w:p>
    <w:p w:rsidR="00CA1958" w:rsidRPr="005824CB" w:rsidRDefault="00CA1958">
      <w:pPr>
        <w:pStyle w:val="Naslov3"/>
        <w:ind w:firstLine="720"/>
        <w:jc w:val="both"/>
      </w:pPr>
      <w:r w:rsidRPr="005824CB">
        <w:t>Naknade i pristojbe i prihodi od pružanja javnih usluga</w:t>
      </w:r>
    </w:p>
    <w:p w:rsidR="00CA1958" w:rsidRPr="005824CB" w:rsidRDefault="00CA1958">
      <w:pPr>
        <w:spacing w:before="120"/>
        <w:ind w:firstLine="720"/>
        <w:jc w:val="both"/>
        <w:rPr>
          <w:lang w:val="hr-HR"/>
        </w:rPr>
      </w:pPr>
      <w:r w:rsidRPr="005824CB">
        <w:rPr>
          <w:lang w:val="hr-HR"/>
        </w:rPr>
        <w:t xml:space="preserve">Prihodi od naknada i pristojbi i prihodi od pružanja javnih usluga (potkategorija 722000) planirani su u visini od </w:t>
      </w:r>
      <w:r w:rsidR="00937634" w:rsidRPr="005824CB">
        <w:rPr>
          <w:lang w:val="hr-HR"/>
        </w:rPr>
        <w:t>2.</w:t>
      </w:r>
      <w:r w:rsidR="0054530D">
        <w:rPr>
          <w:lang w:val="hr-HR"/>
        </w:rPr>
        <w:t>313.010</w:t>
      </w:r>
      <w:r w:rsidRPr="005824CB">
        <w:rPr>
          <w:lang w:val="hr-HR"/>
        </w:rPr>
        <w:t xml:space="preserve"> KM, što predstavlja </w:t>
      </w:r>
      <w:r w:rsidR="003153A2">
        <w:rPr>
          <w:lang w:val="hr-HR"/>
        </w:rPr>
        <w:t>povećanje</w:t>
      </w:r>
      <w:r w:rsidRPr="005824CB">
        <w:rPr>
          <w:lang w:val="hr-HR"/>
        </w:rPr>
        <w:t xml:space="preserve"> od </w:t>
      </w:r>
      <w:r w:rsidR="0054530D">
        <w:rPr>
          <w:lang w:val="hr-HR"/>
        </w:rPr>
        <w:t>10,12</w:t>
      </w:r>
      <w:r w:rsidRPr="005824CB">
        <w:rPr>
          <w:lang w:val="hr-HR"/>
        </w:rPr>
        <w:t>% u odnosu na plan 20</w:t>
      </w:r>
      <w:r w:rsidR="0054530D">
        <w:rPr>
          <w:lang w:val="hr-HR"/>
        </w:rPr>
        <w:t>20</w:t>
      </w:r>
      <w:r w:rsidRPr="005824CB">
        <w:rPr>
          <w:lang w:val="hr-HR"/>
        </w:rPr>
        <w:t xml:space="preserve">. godine, odnosno u apsolutnom iznosu </w:t>
      </w:r>
      <w:r w:rsidR="003153A2">
        <w:rPr>
          <w:lang w:val="hr-HR"/>
        </w:rPr>
        <w:t>povećanje</w:t>
      </w:r>
      <w:r w:rsidRPr="005824CB">
        <w:rPr>
          <w:lang w:val="hr-HR"/>
        </w:rPr>
        <w:t xml:space="preserve"> </w:t>
      </w:r>
      <w:r w:rsidR="0071255B" w:rsidRPr="005824CB">
        <w:rPr>
          <w:lang w:val="hr-HR"/>
        </w:rPr>
        <w:t>za</w:t>
      </w:r>
      <w:r w:rsidRPr="005824CB">
        <w:rPr>
          <w:lang w:val="hr-HR"/>
        </w:rPr>
        <w:t xml:space="preserve"> </w:t>
      </w:r>
      <w:r w:rsidR="0054530D">
        <w:rPr>
          <w:lang w:val="hr-HR"/>
        </w:rPr>
        <w:t>212.610</w:t>
      </w:r>
      <w:r w:rsidRPr="005824CB">
        <w:rPr>
          <w:lang w:val="hr-HR"/>
        </w:rPr>
        <w:t xml:space="preserve"> KM. Plan za 20</w:t>
      </w:r>
      <w:r w:rsidR="003153A2">
        <w:rPr>
          <w:lang w:val="hr-HR"/>
        </w:rPr>
        <w:t>2</w:t>
      </w:r>
      <w:r w:rsidR="0054530D">
        <w:rPr>
          <w:lang w:val="hr-HR"/>
        </w:rPr>
        <w:t>1</w:t>
      </w:r>
      <w:r w:rsidRPr="005824CB">
        <w:rPr>
          <w:lang w:val="hr-HR"/>
        </w:rPr>
        <w:t>. godinu osobito se zasniva na detaljnoj analizi kretanja ovih prihoda u razdoblju 201</w:t>
      </w:r>
      <w:r w:rsidR="0054530D">
        <w:rPr>
          <w:lang w:val="hr-HR"/>
        </w:rPr>
        <w:t>5</w:t>
      </w:r>
      <w:r w:rsidRPr="005824CB">
        <w:rPr>
          <w:lang w:val="hr-HR"/>
        </w:rPr>
        <w:t>.-20</w:t>
      </w:r>
      <w:r w:rsidR="0054530D">
        <w:rPr>
          <w:lang w:val="hr-HR"/>
        </w:rPr>
        <w:t>19. godina, uvažavajući specifičnosti 2020. godine.</w:t>
      </w:r>
    </w:p>
    <w:p w:rsidR="00CA1958" w:rsidRPr="005824CB" w:rsidRDefault="00CA1958">
      <w:pPr>
        <w:spacing w:before="120"/>
        <w:ind w:firstLine="720"/>
        <w:jc w:val="both"/>
        <w:rPr>
          <w:lang w:val="hr-HR"/>
        </w:rPr>
      </w:pPr>
      <w:r w:rsidRPr="005824CB">
        <w:rPr>
          <w:lang w:val="hr-HR"/>
        </w:rPr>
        <w:t xml:space="preserve">Prihodi po osnovi administrativnih pristojbi (glavna grupa 722100) planirani su u iznosu od </w:t>
      </w:r>
      <w:r w:rsidR="0054530D">
        <w:rPr>
          <w:lang w:val="hr-HR"/>
        </w:rPr>
        <w:t>118</w:t>
      </w:r>
      <w:r w:rsidR="003153A2">
        <w:rPr>
          <w:lang w:val="hr-HR"/>
        </w:rPr>
        <w:t>.650</w:t>
      </w:r>
      <w:r w:rsidRPr="005824CB">
        <w:rPr>
          <w:lang w:val="hr-HR"/>
        </w:rPr>
        <w:t xml:space="preserve"> KM i </w:t>
      </w:r>
      <w:r w:rsidR="00937634" w:rsidRPr="005824CB">
        <w:rPr>
          <w:lang w:val="hr-HR"/>
        </w:rPr>
        <w:t>veći</w:t>
      </w:r>
      <w:r w:rsidRPr="005824CB">
        <w:rPr>
          <w:lang w:val="hr-HR"/>
        </w:rPr>
        <w:t xml:space="preserve"> su od plana za 20</w:t>
      </w:r>
      <w:r w:rsidR="0054530D">
        <w:rPr>
          <w:lang w:val="hr-HR"/>
        </w:rPr>
        <w:t>20</w:t>
      </w:r>
      <w:r w:rsidRPr="005824CB">
        <w:rPr>
          <w:lang w:val="hr-HR"/>
        </w:rPr>
        <w:t xml:space="preserve">. godinu za </w:t>
      </w:r>
      <w:r w:rsidR="0054530D">
        <w:rPr>
          <w:lang w:val="hr-HR"/>
        </w:rPr>
        <w:t>18,67</w:t>
      </w:r>
      <w:r w:rsidRPr="005824CB">
        <w:rPr>
          <w:lang w:val="hr-HR"/>
        </w:rPr>
        <w:t>%</w:t>
      </w:r>
      <w:r w:rsidR="003153A2">
        <w:rPr>
          <w:lang w:val="hr-HR"/>
        </w:rPr>
        <w:t>,</w:t>
      </w:r>
      <w:r w:rsidRPr="005824CB">
        <w:rPr>
          <w:lang w:val="hr-HR"/>
        </w:rPr>
        <w:t xml:space="preserve"> ili u apsolutnom iznosu </w:t>
      </w:r>
      <w:r w:rsidR="00937634" w:rsidRPr="005824CB">
        <w:rPr>
          <w:lang w:val="hr-HR"/>
        </w:rPr>
        <w:t>veći</w:t>
      </w:r>
      <w:r w:rsidRPr="005824CB">
        <w:rPr>
          <w:lang w:val="hr-HR"/>
        </w:rPr>
        <w:t xml:space="preserve"> za </w:t>
      </w:r>
      <w:r w:rsidR="0054530D">
        <w:rPr>
          <w:lang w:val="hr-HR"/>
        </w:rPr>
        <w:t>18.670</w:t>
      </w:r>
      <w:r w:rsidRPr="005824CB">
        <w:rPr>
          <w:lang w:val="hr-HR"/>
        </w:rPr>
        <w:t xml:space="preserve"> KM. </w:t>
      </w:r>
    </w:p>
    <w:p w:rsidR="00CA1958" w:rsidRPr="005824CB" w:rsidRDefault="00CA1958">
      <w:pPr>
        <w:spacing w:before="120"/>
        <w:ind w:firstLine="720"/>
        <w:jc w:val="both"/>
        <w:rPr>
          <w:lang w:val="hr-HR"/>
        </w:rPr>
      </w:pPr>
      <w:r w:rsidRPr="005824CB">
        <w:rPr>
          <w:lang w:val="hr-HR"/>
        </w:rPr>
        <w:t>Prihodi po osnovi sudskih pristojbi (</w:t>
      </w:r>
      <w:proofErr w:type="spellStart"/>
      <w:r w:rsidRPr="005824CB">
        <w:rPr>
          <w:lang w:val="hr-HR"/>
        </w:rPr>
        <w:t>gl</w:t>
      </w:r>
      <w:r w:rsidR="00FC34C3" w:rsidRPr="005824CB">
        <w:rPr>
          <w:lang w:val="hr-HR"/>
        </w:rPr>
        <w:t>.</w:t>
      </w:r>
      <w:r w:rsidRPr="005824CB">
        <w:rPr>
          <w:lang w:val="hr-HR"/>
        </w:rPr>
        <w:t>grupa</w:t>
      </w:r>
      <w:proofErr w:type="spellEnd"/>
      <w:r w:rsidRPr="005824CB">
        <w:rPr>
          <w:lang w:val="hr-HR"/>
        </w:rPr>
        <w:t xml:space="preserve"> 722200) planirani su u iznosu od </w:t>
      </w:r>
      <w:r w:rsidR="0054530D">
        <w:rPr>
          <w:lang w:val="hr-HR"/>
        </w:rPr>
        <w:t>433.660</w:t>
      </w:r>
      <w:r w:rsidRPr="005824CB">
        <w:rPr>
          <w:lang w:val="hr-HR"/>
        </w:rPr>
        <w:t xml:space="preserve"> KM</w:t>
      </w:r>
      <w:r w:rsidR="003153A2">
        <w:rPr>
          <w:lang w:val="hr-HR"/>
        </w:rPr>
        <w:t>,</w:t>
      </w:r>
      <w:r w:rsidRPr="005824CB">
        <w:rPr>
          <w:lang w:val="hr-HR"/>
        </w:rPr>
        <w:t xml:space="preserve"> i </w:t>
      </w:r>
      <w:r w:rsidR="003153A2">
        <w:rPr>
          <w:lang w:val="hr-HR"/>
        </w:rPr>
        <w:t>veći</w:t>
      </w:r>
      <w:r w:rsidRPr="005824CB">
        <w:rPr>
          <w:lang w:val="hr-HR"/>
        </w:rPr>
        <w:t xml:space="preserve"> su od plana za 20</w:t>
      </w:r>
      <w:r w:rsidR="0054530D">
        <w:rPr>
          <w:lang w:val="hr-HR"/>
        </w:rPr>
        <w:t>20</w:t>
      </w:r>
      <w:r w:rsidRPr="005824CB">
        <w:rPr>
          <w:lang w:val="hr-HR"/>
        </w:rPr>
        <w:t xml:space="preserve">. godinu za </w:t>
      </w:r>
      <w:r w:rsidR="0054530D">
        <w:rPr>
          <w:lang w:val="hr-HR"/>
        </w:rPr>
        <w:t>7,41</w:t>
      </w:r>
      <w:r w:rsidRPr="005824CB">
        <w:rPr>
          <w:lang w:val="hr-HR"/>
        </w:rPr>
        <w:t>%</w:t>
      </w:r>
      <w:r w:rsidR="003153A2">
        <w:rPr>
          <w:lang w:val="hr-HR"/>
        </w:rPr>
        <w:t>,</w:t>
      </w:r>
      <w:r w:rsidRPr="005824CB">
        <w:rPr>
          <w:lang w:val="hr-HR"/>
        </w:rPr>
        <w:t xml:space="preserve"> ili u apsolutnom iznosu </w:t>
      </w:r>
      <w:r w:rsidR="003153A2">
        <w:rPr>
          <w:lang w:val="hr-HR"/>
        </w:rPr>
        <w:t>veći</w:t>
      </w:r>
      <w:r w:rsidRPr="005824CB">
        <w:rPr>
          <w:lang w:val="hr-HR"/>
        </w:rPr>
        <w:t xml:space="preserve"> za </w:t>
      </w:r>
      <w:r w:rsidR="0054530D">
        <w:rPr>
          <w:lang w:val="hr-HR"/>
        </w:rPr>
        <w:t>29.900</w:t>
      </w:r>
      <w:r w:rsidRPr="005824CB">
        <w:rPr>
          <w:lang w:val="hr-HR"/>
        </w:rPr>
        <w:t xml:space="preserve"> KM. </w:t>
      </w:r>
    </w:p>
    <w:p w:rsidR="00C76DC5" w:rsidRPr="005824CB" w:rsidRDefault="00CA1958">
      <w:pPr>
        <w:spacing w:before="120"/>
        <w:ind w:firstLine="720"/>
        <w:jc w:val="both"/>
        <w:rPr>
          <w:lang w:val="hr-HR"/>
        </w:rPr>
      </w:pPr>
      <w:r w:rsidRPr="005824CB">
        <w:rPr>
          <w:lang w:val="hr-HR"/>
        </w:rPr>
        <w:t xml:space="preserve">Prihodi po osnovi ostalih proračunskih naknada (glavna grupa 722400) planirani su u iznosu od </w:t>
      </w:r>
      <w:r w:rsidR="0054530D">
        <w:rPr>
          <w:lang w:val="hr-HR"/>
        </w:rPr>
        <w:t>193.400</w:t>
      </w:r>
      <w:r w:rsidRPr="005824CB">
        <w:rPr>
          <w:lang w:val="hr-HR"/>
        </w:rPr>
        <w:t xml:space="preserve"> KM</w:t>
      </w:r>
      <w:r w:rsidR="003153A2">
        <w:rPr>
          <w:lang w:val="hr-HR"/>
        </w:rPr>
        <w:t>,</w:t>
      </w:r>
      <w:r w:rsidRPr="005824CB">
        <w:rPr>
          <w:lang w:val="hr-HR"/>
        </w:rPr>
        <w:t xml:space="preserve"> i manji su od plana za 20</w:t>
      </w:r>
      <w:r w:rsidR="0054530D">
        <w:rPr>
          <w:lang w:val="hr-HR"/>
        </w:rPr>
        <w:t>20</w:t>
      </w:r>
      <w:r w:rsidRPr="005824CB">
        <w:rPr>
          <w:lang w:val="hr-HR"/>
        </w:rPr>
        <w:t xml:space="preserve">. godinu za </w:t>
      </w:r>
      <w:r w:rsidR="0054530D">
        <w:rPr>
          <w:lang w:val="hr-HR"/>
        </w:rPr>
        <w:t>25,86</w:t>
      </w:r>
      <w:r w:rsidRPr="005824CB">
        <w:rPr>
          <w:lang w:val="hr-HR"/>
        </w:rPr>
        <w:t>%</w:t>
      </w:r>
      <w:r w:rsidR="003153A2">
        <w:rPr>
          <w:lang w:val="hr-HR"/>
        </w:rPr>
        <w:t>,</w:t>
      </w:r>
      <w:r w:rsidRPr="005824CB">
        <w:rPr>
          <w:lang w:val="hr-HR"/>
        </w:rPr>
        <w:t xml:space="preserve"> ili u apsolutnom iznosu manji za </w:t>
      </w:r>
      <w:r w:rsidR="0054530D">
        <w:rPr>
          <w:lang w:val="hr-HR"/>
        </w:rPr>
        <w:t>67.470</w:t>
      </w:r>
      <w:r w:rsidRPr="005824CB">
        <w:rPr>
          <w:lang w:val="hr-HR"/>
        </w:rPr>
        <w:t xml:space="preserve"> KM. Smanjenje se temelji na smanjenju županijskih naknada </w:t>
      </w:r>
      <w:r w:rsidR="0071255B" w:rsidRPr="005824CB">
        <w:rPr>
          <w:lang w:val="hr-HR"/>
        </w:rPr>
        <w:t>(osobito naknada za korištenje poljoprivrednog zemljišta u nepoljoprivredne svrhe). Naime, u slučaju naknada za korištenje poljoprivrednog zemljišta u nepoljoprivredne svrhe</w:t>
      </w:r>
      <w:r w:rsidR="00382778" w:rsidRPr="005824CB">
        <w:rPr>
          <w:lang w:val="hr-HR"/>
        </w:rPr>
        <w:t>,</w:t>
      </w:r>
      <w:r w:rsidR="0071255B" w:rsidRPr="005824CB">
        <w:rPr>
          <w:lang w:val="hr-HR"/>
        </w:rPr>
        <w:t xml:space="preserve"> riječ je o prihodima koji se namjenski troše u okviru Granta za uređenje poljoprivrednog zemljišta</w:t>
      </w:r>
      <w:r w:rsidR="0054530D">
        <w:rPr>
          <w:lang w:val="hr-HR"/>
        </w:rPr>
        <w:t xml:space="preserve"> (614500)</w:t>
      </w:r>
      <w:r w:rsidR="0071255B" w:rsidRPr="005824CB">
        <w:rPr>
          <w:lang w:val="hr-HR"/>
        </w:rPr>
        <w:t xml:space="preserve"> </w:t>
      </w:r>
      <w:r w:rsidR="0054530D">
        <w:rPr>
          <w:lang w:val="hr-HR"/>
        </w:rPr>
        <w:t xml:space="preserve">i Kapitalnog granta za uređenje poljoprivrednog zemljišta (615100) </w:t>
      </w:r>
      <w:r w:rsidR="0071255B" w:rsidRPr="005824CB">
        <w:rPr>
          <w:lang w:val="hr-HR"/>
        </w:rPr>
        <w:t>Ministarstva poljoprivrede, vodoprivrede i šumarstva</w:t>
      </w:r>
      <w:r w:rsidR="003344E8">
        <w:rPr>
          <w:lang w:val="hr-HR"/>
        </w:rPr>
        <w:t xml:space="preserve"> Županije Posavske</w:t>
      </w:r>
      <w:r w:rsidR="0054530D">
        <w:rPr>
          <w:lang w:val="hr-HR"/>
        </w:rPr>
        <w:t>, čija je namjenska potrošnja usklađena s planom prihoda po ovoj osnovi.</w:t>
      </w:r>
    </w:p>
    <w:p w:rsidR="00CA1958" w:rsidRPr="005824CB" w:rsidRDefault="00CA1958">
      <w:pPr>
        <w:spacing w:before="120"/>
        <w:ind w:firstLine="720"/>
        <w:jc w:val="both"/>
        <w:rPr>
          <w:lang w:val="hr-HR"/>
        </w:rPr>
      </w:pPr>
      <w:r w:rsidRPr="005824CB">
        <w:rPr>
          <w:lang w:val="hr-HR"/>
        </w:rPr>
        <w:t xml:space="preserve">Naknade i pristojbe po Federalnim zakonima i drugim propisima (glavna grupa 722500) planirane su u visini od </w:t>
      </w:r>
      <w:r w:rsidR="003153A2">
        <w:rPr>
          <w:lang w:val="hr-HR"/>
        </w:rPr>
        <w:t>1.</w:t>
      </w:r>
      <w:r w:rsidR="00A65739">
        <w:rPr>
          <w:lang w:val="hr-HR"/>
        </w:rPr>
        <w:t>126.210</w:t>
      </w:r>
      <w:r w:rsidRPr="005824CB">
        <w:rPr>
          <w:lang w:val="hr-HR"/>
        </w:rPr>
        <w:t xml:space="preserve"> KM, pri čemu su najznačajniji planirani prihodi po osnovi vodnih naknada, cestovnih naknada i naknada za zaštitu okoliša. U odnosu na planirano u 20</w:t>
      </w:r>
      <w:r w:rsidR="00A65739">
        <w:rPr>
          <w:lang w:val="hr-HR"/>
        </w:rPr>
        <w:t>20</w:t>
      </w:r>
      <w:r w:rsidRPr="005824CB">
        <w:rPr>
          <w:lang w:val="hr-HR"/>
        </w:rPr>
        <w:t>. godini u fiskalnoj 20</w:t>
      </w:r>
      <w:r w:rsidR="003153A2">
        <w:rPr>
          <w:lang w:val="hr-HR"/>
        </w:rPr>
        <w:t>2</w:t>
      </w:r>
      <w:r w:rsidR="00A65739">
        <w:rPr>
          <w:lang w:val="hr-HR"/>
        </w:rPr>
        <w:t>1</w:t>
      </w:r>
      <w:r w:rsidRPr="005824CB">
        <w:rPr>
          <w:lang w:val="hr-HR"/>
        </w:rPr>
        <w:t xml:space="preserve">. godini očekuje se </w:t>
      </w:r>
      <w:r w:rsidR="00C76DC5" w:rsidRPr="005824CB">
        <w:rPr>
          <w:lang w:val="hr-HR"/>
        </w:rPr>
        <w:t>veća</w:t>
      </w:r>
      <w:r w:rsidRPr="005824CB">
        <w:rPr>
          <w:lang w:val="hr-HR"/>
        </w:rPr>
        <w:t xml:space="preserve"> realizacija ovih prihoda</w:t>
      </w:r>
      <w:r w:rsidR="003153A2">
        <w:rPr>
          <w:lang w:val="hr-HR"/>
        </w:rPr>
        <w:t>,</w:t>
      </w:r>
      <w:r w:rsidRPr="005824CB">
        <w:rPr>
          <w:lang w:val="hr-HR"/>
        </w:rPr>
        <w:t xml:space="preserve"> i to u apsolutnom iznosu </w:t>
      </w:r>
      <w:r w:rsidR="00A65739">
        <w:rPr>
          <w:lang w:val="hr-HR"/>
        </w:rPr>
        <w:t>181.090</w:t>
      </w:r>
      <w:r w:rsidRPr="005824CB">
        <w:rPr>
          <w:lang w:val="hr-HR"/>
        </w:rPr>
        <w:t xml:space="preserve"> KM </w:t>
      </w:r>
      <w:r w:rsidR="00C76DC5" w:rsidRPr="005824CB">
        <w:rPr>
          <w:lang w:val="hr-HR"/>
        </w:rPr>
        <w:t xml:space="preserve">više, </w:t>
      </w:r>
      <w:r w:rsidRPr="005824CB">
        <w:rPr>
          <w:lang w:val="hr-HR"/>
        </w:rPr>
        <w:t xml:space="preserve">odnosno </w:t>
      </w:r>
      <w:r w:rsidR="00A65739">
        <w:rPr>
          <w:lang w:val="hr-HR"/>
        </w:rPr>
        <w:t>19,16</w:t>
      </w:r>
      <w:r w:rsidRPr="005824CB">
        <w:rPr>
          <w:lang w:val="hr-HR"/>
        </w:rPr>
        <w:t xml:space="preserve">% </w:t>
      </w:r>
      <w:r w:rsidR="00C76DC5" w:rsidRPr="005824CB">
        <w:rPr>
          <w:lang w:val="hr-HR"/>
        </w:rPr>
        <w:t>više</w:t>
      </w:r>
      <w:r w:rsidRPr="005824CB">
        <w:rPr>
          <w:lang w:val="hr-HR"/>
        </w:rPr>
        <w:t>.</w:t>
      </w:r>
      <w:r w:rsidR="000571EE" w:rsidRPr="005824CB">
        <w:rPr>
          <w:lang w:val="hr-HR"/>
        </w:rPr>
        <w:t xml:space="preserve"> </w:t>
      </w:r>
      <w:r w:rsidR="00382778" w:rsidRPr="005824CB">
        <w:rPr>
          <w:lang w:val="hr-HR"/>
        </w:rPr>
        <w:t xml:space="preserve">Kako se u ovoj skupini najvećim dijelom radi o namjenskim prihodima Ministarstva poljoprivrede, vodoprivrede i šumarstva </w:t>
      </w:r>
      <w:r w:rsidR="003344E8">
        <w:rPr>
          <w:lang w:val="hr-HR"/>
        </w:rPr>
        <w:t xml:space="preserve">Županije Posavske </w:t>
      </w:r>
      <w:r w:rsidR="00382778" w:rsidRPr="005824CB">
        <w:rPr>
          <w:lang w:val="hr-HR"/>
        </w:rPr>
        <w:t>(vodne naknade i zaostale obveze po osnovi naknada za korištenje šu</w:t>
      </w:r>
      <w:r w:rsidR="003344E8">
        <w:rPr>
          <w:lang w:val="hr-HR"/>
        </w:rPr>
        <w:t>ma), Ministarstva prometa, veza</w:t>
      </w:r>
      <w:r w:rsidR="00382778" w:rsidRPr="005824CB">
        <w:rPr>
          <w:lang w:val="hr-HR"/>
        </w:rPr>
        <w:t xml:space="preserve"> i zaštite okoliša</w:t>
      </w:r>
      <w:r w:rsidR="003344E8">
        <w:rPr>
          <w:lang w:val="hr-HR"/>
        </w:rPr>
        <w:t xml:space="preserve"> Županije Posavske</w:t>
      </w:r>
      <w:r w:rsidR="00382778" w:rsidRPr="005824CB">
        <w:rPr>
          <w:lang w:val="hr-HR"/>
        </w:rPr>
        <w:t xml:space="preserve"> (cestovne naknade i naknade za zaštitu okoliša) i </w:t>
      </w:r>
      <w:r w:rsidR="003344E8">
        <w:rPr>
          <w:lang w:val="hr-HR"/>
        </w:rPr>
        <w:t>Županijske uprave civilne zaštite</w:t>
      </w:r>
      <w:r w:rsidR="00382778" w:rsidRPr="005824CB">
        <w:rPr>
          <w:lang w:val="hr-HR"/>
        </w:rPr>
        <w:t xml:space="preserve"> (posebne naknade za zaštitu od prirodnih i drugih nesreća)</w:t>
      </w:r>
      <w:r w:rsidR="00F120C5" w:rsidRPr="005824CB">
        <w:rPr>
          <w:lang w:val="hr-HR"/>
        </w:rPr>
        <w:t xml:space="preserve"> njihovo planiranje uvjetovano je </w:t>
      </w:r>
      <w:r w:rsidR="003153A2">
        <w:rPr>
          <w:lang w:val="hr-HR"/>
        </w:rPr>
        <w:t xml:space="preserve">i izjednačeno s </w:t>
      </w:r>
      <w:r w:rsidR="00F120C5" w:rsidRPr="005824CB">
        <w:rPr>
          <w:lang w:val="hr-HR"/>
        </w:rPr>
        <w:t xml:space="preserve">planiranom namjenskom potrošnjom. </w:t>
      </w:r>
    </w:p>
    <w:p w:rsidR="00CA1958" w:rsidRPr="005824CB" w:rsidRDefault="00CA1958">
      <w:pPr>
        <w:spacing w:before="120"/>
        <w:ind w:firstLine="720"/>
        <w:jc w:val="both"/>
        <w:rPr>
          <w:lang w:val="hr-HR"/>
        </w:rPr>
      </w:pPr>
      <w:r w:rsidRPr="005824CB">
        <w:rPr>
          <w:lang w:val="hr-HR"/>
        </w:rPr>
        <w:t xml:space="preserve">Prihodi od pružanja javnih usluga (glavna grupa 722600) u visini od </w:t>
      </w:r>
      <w:r w:rsidR="00A65739">
        <w:rPr>
          <w:lang w:val="hr-HR"/>
        </w:rPr>
        <w:t>390.080</w:t>
      </w:r>
      <w:r w:rsidRPr="005824CB">
        <w:rPr>
          <w:lang w:val="hr-HR"/>
        </w:rPr>
        <w:t xml:space="preserve"> KM su prihodi od pružanja usluga građanima i pravnim osobama, prihodi od pružanja usluga drugim razinama vlasti i prihodi od pružanja usluga ostalima, kao i vlastiti prihodi proračunskih </w:t>
      </w:r>
      <w:r w:rsidRPr="005824CB">
        <w:rPr>
          <w:lang w:val="hr-HR"/>
        </w:rPr>
        <w:lastRenderedPageBreak/>
        <w:t>korisnika. U odnosu na plan za 20</w:t>
      </w:r>
      <w:r w:rsidR="00A65739">
        <w:rPr>
          <w:lang w:val="hr-HR"/>
        </w:rPr>
        <w:t>20. godinu u 2021</w:t>
      </w:r>
      <w:r w:rsidRPr="005824CB">
        <w:rPr>
          <w:lang w:val="hr-HR"/>
        </w:rPr>
        <w:t xml:space="preserve">. godini se planira </w:t>
      </w:r>
      <w:r w:rsidR="000E2364">
        <w:rPr>
          <w:lang w:val="hr-HR"/>
        </w:rPr>
        <w:t>veća</w:t>
      </w:r>
      <w:r w:rsidRPr="005824CB">
        <w:rPr>
          <w:lang w:val="hr-HR"/>
        </w:rPr>
        <w:t xml:space="preserve"> realizacija ovih prihoda (</w:t>
      </w:r>
      <w:r w:rsidR="00A65739">
        <w:rPr>
          <w:lang w:val="hr-HR"/>
        </w:rPr>
        <w:t>14,25</w:t>
      </w:r>
      <w:r w:rsidRPr="005824CB">
        <w:rPr>
          <w:lang w:val="hr-HR"/>
        </w:rPr>
        <w:t xml:space="preserve">% ili </w:t>
      </w:r>
      <w:r w:rsidR="00A65739">
        <w:rPr>
          <w:lang w:val="hr-HR"/>
        </w:rPr>
        <w:t>48.640</w:t>
      </w:r>
      <w:r w:rsidRPr="005824CB">
        <w:rPr>
          <w:lang w:val="hr-HR"/>
        </w:rPr>
        <w:t xml:space="preserve"> KM </w:t>
      </w:r>
      <w:r w:rsidR="000E2364">
        <w:rPr>
          <w:lang w:val="hr-HR"/>
        </w:rPr>
        <w:t>više</w:t>
      </w:r>
      <w:r w:rsidRPr="005824CB">
        <w:rPr>
          <w:lang w:val="hr-HR"/>
        </w:rPr>
        <w:t>).</w:t>
      </w:r>
      <w:r w:rsidR="004831FA" w:rsidRPr="005824CB">
        <w:rPr>
          <w:lang w:val="hr-HR"/>
        </w:rPr>
        <w:t xml:space="preserve"> </w:t>
      </w:r>
      <w:r w:rsidR="000E2364">
        <w:rPr>
          <w:lang w:val="hr-HR"/>
        </w:rPr>
        <w:t>Povećanje</w:t>
      </w:r>
      <w:r w:rsidR="004831FA" w:rsidRPr="005824CB">
        <w:rPr>
          <w:lang w:val="hr-HR"/>
        </w:rPr>
        <w:t xml:space="preserve"> se očekuje na </w:t>
      </w:r>
      <w:r w:rsidR="00DB30E4" w:rsidRPr="005824CB">
        <w:rPr>
          <w:lang w:val="hr-HR"/>
        </w:rPr>
        <w:t xml:space="preserve">svim </w:t>
      </w:r>
      <w:r w:rsidR="004831FA" w:rsidRPr="005824CB">
        <w:rPr>
          <w:lang w:val="hr-HR"/>
        </w:rPr>
        <w:t xml:space="preserve">prihodima </w:t>
      </w:r>
      <w:r w:rsidR="00DB30E4" w:rsidRPr="005824CB">
        <w:rPr>
          <w:lang w:val="hr-HR"/>
        </w:rPr>
        <w:t xml:space="preserve">ove skupine. </w:t>
      </w:r>
    </w:p>
    <w:p w:rsidR="00CA1958" w:rsidRPr="005824CB" w:rsidRDefault="00CA1958">
      <w:pPr>
        <w:spacing w:before="120"/>
        <w:ind w:firstLine="720"/>
        <w:jc w:val="both"/>
        <w:rPr>
          <w:lang w:val="hr-HR"/>
        </w:rPr>
      </w:pPr>
      <w:r w:rsidRPr="005824CB">
        <w:rPr>
          <w:lang w:val="hr-HR"/>
        </w:rPr>
        <w:t xml:space="preserve">Neplanirane uplate - prihodi (glavna grupa 722700) u visini od </w:t>
      </w:r>
      <w:r w:rsidR="00A65739">
        <w:rPr>
          <w:lang w:val="hr-HR"/>
        </w:rPr>
        <w:t>51</w:t>
      </w:r>
      <w:r w:rsidR="000E2364">
        <w:rPr>
          <w:lang w:val="hr-HR"/>
        </w:rPr>
        <w:t>.</w:t>
      </w:r>
      <w:r w:rsidR="00A65739">
        <w:rPr>
          <w:lang w:val="hr-HR"/>
        </w:rPr>
        <w:t>010</w:t>
      </w:r>
      <w:r w:rsidRPr="005824CB">
        <w:rPr>
          <w:lang w:val="hr-HR"/>
        </w:rPr>
        <w:t xml:space="preserve"> KM su prihodi od troškova naplate po osnovi pokretanja postupka prinudne naplate, primljene namjenske donacije neplanirane u Proračunu i ostale neplanirane uplate. Proračunom za 20</w:t>
      </w:r>
      <w:r w:rsidR="000E2364">
        <w:rPr>
          <w:lang w:val="hr-HR"/>
        </w:rPr>
        <w:t>2</w:t>
      </w:r>
      <w:r w:rsidR="00A65739">
        <w:rPr>
          <w:lang w:val="hr-HR"/>
        </w:rPr>
        <w:t>1</w:t>
      </w:r>
      <w:r w:rsidRPr="005824CB">
        <w:rPr>
          <w:lang w:val="hr-HR"/>
        </w:rPr>
        <w:t xml:space="preserve">. godinu planira se </w:t>
      </w:r>
      <w:r w:rsidR="000E2364">
        <w:rPr>
          <w:lang w:val="hr-HR"/>
        </w:rPr>
        <w:t>povećanje</w:t>
      </w:r>
      <w:r w:rsidRPr="005824CB">
        <w:rPr>
          <w:lang w:val="hr-HR"/>
        </w:rPr>
        <w:t xml:space="preserve"> ovih prihoda u odnosu na plan prethodne godine za </w:t>
      </w:r>
      <w:r w:rsidR="00A65739">
        <w:rPr>
          <w:lang w:val="hr-HR"/>
        </w:rPr>
        <w:t>3,62</w:t>
      </w:r>
      <w:r w:rsidRPr="005824CB">
        <w:rPr>
          <w:lang w:val="hr-HR"/>
        </w:rPr>
        <w:t xml:space="preserve">% ili u apsolutnom iznosu </w:t>
      </w:r>
      <w:r w:rsidR="000E2364">
        <w:rPr>
          <w:lang w:val="hr-HR"/>
        </w:rPr>
        <w:t>povećanje</w:t>
      </w:r>
      <w:r w:rsidR="00DB30E4" w:rsidRPr="005824CB">
        <w:rPr>
          <w:lang w:val="hr-HR"/>
        </w:rPr>
        <w:t xml:space="preserve"> </w:t>
      </w:r>
      <w:r w:rsidRPr="005824CB">
        <w:rPr>
          <w:lang w:val="hr-HR"/>
        </w:rPr>
        <w:t xml:space="preserve">za </w:t>
      </w:r>
      <w:r w:rsidR="00A65739">
        <w:rPr>
          <w:lang w:val="hr-HR"/>
        </w:rPr>
        <w:t>1.780</w:t>
      </w:r>
      <w:r w:rsidRPr="005824CB">
        <w:rPr>
          <w:lang w:val="hr-HR"/>
        </w:rPr>
        <w:t xml:space="preserve"> KM.</w:t>
      </w:r>
      <w:r w:rsidR="000E2364">
        <w:rPr>
          <w:lang w:val="hr-HR"/>
        </w:rPr>
        <w:t xml:space="preserve"> </w:t>
      </w:r>
      <w:r w:rsidR="00FD7643">
        <w:rPr>
          <w:lang w:val="hr-HR"/>
        </w:rPr>
        <w:t>N</w:t>
      </w:r>
      <w:r w:rsidR="00FD7643" w:rsidRPr="004979FE">
        <w:rPr>
          <w:lang w:val="hr-HR"/>
        </w:rPr>
        <w:t xml:space="preserve">a ovoj poziciji </w:t>
      </w:r>
      <w:r w:rsidR="00FD7643">
        <w:rPr>
          <w:lang w:val="hr-HR"/>
        </w:rPr>
        <w:t>se</w:t>
      </w:r>
      <w:r w:rsidR="00FD7643" w:rsidRPr="004979FE">
        <w:rPr>
          <w:lang w:val="hr-HR"/>
        </w:rPr>
        <w:t xml:space="preserve"> računovodstveno evidentiraju povrati od </w:t>
      </w:r>
      <w:proofErr w:type="spellStart"/>
      <w:r w:rsidR="00FD7643" w:rsidRPr="004979FE">
        <w:rPr>
          <w:lang w:val="hr-HR"/>
        </w:rPr>
        <w:t>akciza</w:t>
      </w:r>
      <w:proofErr w:type="spellEnd"/>
      <w:r w:rsidR="00FD7643" w:rsidRPr="004979FE">
        <w:rPr>
          <w:lang w:val="hr-HR"/>
        </w:rPr>
        <w:t xml:space="preserve"> na naftu i naftne derivate osnovnih škola</w:t>
      </w:r>
      <w:r w:rsidR="00FD7643">
        <w:rPr>
          <w:lang w:val="hr-HR"/>
        </w:rPr>
        <w:t>.</w:t>
      </w:r>
    </w:p>
    <w:p w:rsidR="00CA1958" w:rsidRPr="005824CB" w:rsidRDefault="00CA1958">
      <w:pPr>
        <w:ind w:firstLine="720"/>
        <w:jc w:val="both"/>
        <w:rPr>
          <w:sz w:val="16"/>
          <w:szCs w:val="16"/>
          <w:lang w:val="hr-HR"/>
        </w:rPr>
      </w:pPr>
    </w:p>
    <w:p w:rsidR="00CA1958" w:rsidRPr="005824CB" w:rsidRDefault="00CA1958">
      <w:pPr>
        <w:pStyle w:val="Naslov3"/>
        <w:ind w:firstLine="720"/>
        <w:jc w:val="both"/>
      </w:pPr>
      <w:r w:rsidRPr="005824CB">
        <w:t>Novčane kazne</w:t>
      </w:r>
    </w:p>
    <w:p w:rsidR="00CA1958" w:rsidRPr="005824CB" w:rsidRDefault="00CA1958">
      <w:pPr>
        <w:spacing w:before="120"/>
        <w:jc w:val="both"/>
        <w:rPr>
          <w:lang w:val="hr-HR"/>
        </w:rPr>
      </w:pPr>
      <w:r w:rsidRPr="005824CB">
        <w:rPr>
          <w:lang w:val="hr-HR"/>
        </w:rPr>
        <w:t xml:space="preserve">        </w:t>
      </w:r>
      <w:r w:rsidRPr="005824CB">
        <w:rPr>
          <w:lang w:val="hr-HR"/>
        </w:rPr>
        <w:tab/>
        <w:t xml:space="preserve">Novčane kazne (potkategorija 723000) planirane su u iznosu od </w:t>
      </w:r>
      <w:r w:rsidR="00FD7643">
        <w:rPr>
          <w:lang w:val="hr-HR"/>
        </w:rPr>
        <w:t>535</w:t>
      </w:r>
      <w:r w:rsidR="000E2364">
        <w:rPr>
          <w:lang w:val="hr-HR"/>
        </w:rPr>
        <w:t>.</w:t>
      </w:r>
      <w:r w:rsidR="00FD7643">
        <w:rPr>
          <w:lang w:val="hr-HR"/>
        </w:rPr>
        <w:t>17</w:t>
      </w:r>
      <w:r w:rsidR="000E2364">
        <w:rPr>
          <w:lang w:val="hr-HR"/>
        </w:rPr>
        <w:t>0</w:t>
      </w:r>
      <w:r w:rsidRPr="005824CB">
        <w:rPr>
          <w:lang w:val="hr-HR"/>
        </w:rPr>
        <w:t xml:space="preserve"> KM, što je za </w:t>
      </w:r>
      <w:r w:rsidR="00FD7643">
        <w:rPr>
          <w:lang w:val="hr-HR"/>
        </w:rPr>
        <w:t>2,53</w:t>
      </w:r>
      <w:r w:rsidRPr="005824CB">
        <w:rPr>
          <w:lang w:val="hr-HR"/>
        </w:rPr>
        <w:t xml:space="preserve">% </w:t>
      </w:r>
      <w:r w:rsidR="000E2364">
        <w:rPr>
          <w:lang w:val="hr-HR"/>
        </w:rPr>
        <w:t>više</w:t>
      </w:r>
      <w:r w:rsidRPr="005824CB">
        <w:rPr>
          <w:lang w:val="hr-HR"/>
        </w:rPr>
        <w:t xml:space="preserve"> u odnosu na planirane prihode po osnovi novčanih kazni u 20</w:t>
      </w:r>
      <w:r w:rsidR="00FD7643">
        <w:rPr>
          <w:lang w:val="hr-HR"/>
        </w:rPr>
        <w:t>20</w:t>
      </w:r>
      <w:r w:rsidRPr="005824CB">
        <w:rPr>
          <w:lang w:val="hr-HR"/>
        </w:rPr>
        <w:t>. godini</w:t>
      </w:r>
      <w:r w:rsidR="00C76DC5" w:rsidRPr="005824CB">
        <w:rPr>
          <w:lang w:val="hr-HR"/>
        </w:rPr>
        <w:t>,</w:t>
      </w:r>
      <w:r w:rsidRPr="005824CB">
        <w:rPr>
          <w:lang w:val="hr-HR"/>
        </w:rPr>
        <w:t xml:space="preserve"> odnosno u apsolutnom iznosu </w:t>
      </w:r>
      <w:r w:rsidR="00FD7643">
        <w:rPr>
          <w:lang w:val="hr-HR"/>
        </w:rPr>
        <w:t>13.200</w:t>
      </w:r>
      <w:r w:rsidRPr="005824CB">
        <w:rPr>
          <w:lang w:val="hr-HR"/>
        </w:rPr>
        <w:t xml:space="preserve"> KM </w:t>
      </w:r>
      <w:r w:rsidR="000E2364">
        <w:rPr>
          <w:lang w:val="hr-HR"/>
        </w:rPr>
        <w:t>više</w:t>
      </w:r>
      <w:r w:rsidRPr="005824CB">
        <w:rPr>
          <w:lang w:val="hr-HR"/>
        </w:rPr>
        <w:t>.</w:t>
      </w:r>
    </w:p>
    <w:p w:rsidR="00F120C5" w:rsidRPr="005824CB" w:rsidRDefault="00F120C5">
      <w:pPr>
        <w:pStyle w:val="Uvuenotijeloteksta"/>
        <w:spacing w:line="240" w:lineRule="auto"/>
        <w:ind w:firstLine="0"/>
        <w:jc w:val="left"/>
        <w:rPr>
          <w:b/>
          <w:bCs/>
          <w:i/>
        </w:rPr>
      </w:pPr>
    </w:p>
    <w:p w:rsidR="00DB30E4" w:rsidRPr="005824CB" w:rsidRDefault="00DB30E4">
      <w:pPr>
        <w:pStyle w:val="Uvuenotijeloteksta"/>
        <w:spacing w:line="240" w:lineRule="auto"/>
        <w:ind w:firstLine="0"/>
        <w:jc w:val="left"/>
        <w:rPr>
          <w:b/>
          <w:bCs/>
          <w:i/>
        </w:rPr>
      </w:pPr>
    </w:p>
    <w:p w:rsidR="00CA1958" w:rsidRPr="005824CB" w:rsidRDefault="00CA1958">
      <w:pPr>
        <w:pStyle w:val="Uvuenotijeloteksta"/>
        <w:spacing w:line="240" w:lineRule="auto"/>
        <w:jc w:val="left"/>
        <w:rPr>
          <w:b/>
          <w:bCs/>
        </w:rPr>
      </w:pPr>
      <w:r w:rsidRPr="005824CB">
        <w:rPr>
          <w:b/>
          <w:bCs/>
        </w:rPr>
        <w:t xml:space="preserve">4.1.3 </w:t>
      </w:r>
      <w:r w:rsidRPr="005824CB">
        <w:rPr>
          <w:b/>
          <w:bCs/>
        </w:rPr>
        <w:tab/>
        <w:t>TEKUĆI GRANTOVI (GRANTOVI I DONACIJE)</w:t>
      </w:r>
    </w:p>
    <w:p w:rsidR="00CA1958" w:rsidRPr="005824CB" w:rsidRDefault="00CA1958">
      <w:pPr>
        <w:pStyle w:val="Uvuenotijeloteksta"/>
        <w:spacing w:line="240" w:lineRule="auto"/>
        <w:jc w:val="left"/>
      </w:pPr>
    </w:p>
    <w:p w:rsidR="00DB30E4" w:rsidRPr="005824CB" w:rsidRDefault="00CA1958">
      <w:pPr>
        <w:ind w:firstLine="720"/>
        <w:jc w:val="both"/>
        <w:rPr>
          <w:lang w:val="hr-HR"/>
        </w:rPr>
      </w:pPr>
      <w:r w:rsidRPr="005824CB">
        <w:rPr>
          <w:lang w:val="hr-HR"/>
        </w:rPr>
        <w:t xml:space="preserve">Tekući </w:t>
      </w:r>
      <w:proofErr w:type="spellStart"/>
      <w:r w:rsidRPr="005824CB">
        <w:rPr>
          <w:lang w:val="hr-HR"/>
        </w:rPr>
        <w:t>grantovi</w:t>
      </w:r>
      <w:proofErr w:type="spellEnd"/>
      <w:r w:rsidRPr="005824CB">
        <w:rPr>
          <w:lang w:val="hr-HR"/>
        </w:rPr>
        <w:t xml:space="preserve"> (kategorija 730000) planirani su u iznosu od </w:t>
      </w:r>
      <w:r w:rsidR="00FD7643">
        <w:rPr>
          <w:lang w:val="hr-HR"/>
        </w:rPr>
        <w:t>10.093.070</w:t>
      </w:r>
      <w:r w:rsidRPr="005824CB">
        <w:rPr>
          <w:lang w:val="hr-HR"/>
        </w:rPr>
        <w:t xml:space="preserve"> KM</w:t>
      </w:r>
      <w:r w:rsidR="000E2364">
        <w:rPr>
          <w:lang w:val="hr-HR"/>
        </w:rPr>
        <w:t>,</w:t>
      </w:r>
      <w:r w:rsidRPr="005824CB">
        <w:rPr>
          <w:lang w:val="hr-HR"/>
        </w:rPr>
        <w:t xml:space="preserve"> i </w:t>
      </w:r>
      <w:r w:rsidR="000E2364">
        <w:rPr>
          <w:lang w:val="hr-HR"/>
        </w:rPr>
        <w:t>veći</w:t>
      </w:r>
      <w:r w:rsidRPr="005824CB">
        <w:rPr>
          <w:lang w:val="hr-HR"/>
        </w:rPr>
        <w:t xml:space="preserve"> su od plana prethodne godine za </w:t>
      </w:r>
      <w:r w:rsidR="00FD7643">
        <w:rPr>
          <w:lang w:val="hr-HR"/>
        </w:rPr>
        <w:t>22,27</w:t>
      </w:r>
      <w:r w:rsidRPr="005824CB">
        <w:rPr>
          <w:lang w:val="hr-HR"/>
        </w:rPr>
        <w:t>%</w:t>
      </w:r>
      <w:r w:rsidR="000E2364">
        <w:rPr>
          <w:lang w:val="hr-HR"/>
        </w:rPr>
        <w:t>,</w:t>
      </w:r>
      <w:r w:rsidRPr="005824CB">
        <w:rPr>
          <w:lang w:val="hr-HR"/>
        </w:rPr>
        <w:t xml:space="preserve"> ili u apsolutnom iznosu </w:t>
      </w:r>
      <w:r w:rsidR="000E2364">
        <w:rPr>
          <w:lang w:val="hr-HR"/>
        </w:rPr>
        <w:t>veći</w:t>
      </w:r>
      <w:r w:rsidRPr="005824CB">
        <w:rPr>
          <w:lang w:val="hr-HR"/>
        </w:rPr>
        <w:t xml:space="preserve"> za </w:t>
      </w:r>
      <w:r w:rsidR="00FD7643">
        <w:rPr>
          <w:lang w:val="hr-HR"/>
        </w:rPr>
        <w:t>1.838.500</w:t>
      </w:r>
      <w:r w:rsidRPr="005824CB">
        <w:rPr>
          <w:lang w:val="hr-HR"/>
        </w:rPr>
        <w:t xml:space="preserve"> KM. Navedeni iznos tekućih </w:t>
      </w:r>
      <w:proofErr w:type="spellStart"/>
      <w:r w:rsidRPr="005824CB">
        <w:rPr>
          <w:lang w:val="hr-HR"/>
        </w:rPr>
        <w:t>grantova</w:t>
      </w:r>
      <w:proofErr w:type="spellEnd"/>
      <w:r w:rsidRPr="005824CB">
        <w:rPr>
          <w:lang w:val="hr-HR"/>
        </w:rPr>
        <w:t xml:space="preserve"> </w:t>
      </w:r>
      <w:r w:rsidR="00F120C5" w:rsidRPr="005824CB">
        <w:rPr>
          <w:lang w:val="hr-HR"/>
        </w:rPr>
        <w:t>odnosi se na</w:t>
      </w:r>
      <w:r w:rsidR="00DB30E4" w:rsidRPr="005824CB">
        <w:rPr>
          <w:lang w:val="hr-HR"/>
        </w:rPr>
        <w:t>:</w:t>
      </w:r>
    </w:p>
    <w:p w:rsidR="00DB30E4" w:rsidRPr="005824CB" w:rsidRDefault="00DB30E4" w:rsidP="00D63FFB">
      <w:pPr>
        <w:numPr>
          <w:ilvl w:val="0"/>
          <w:numId w:val="4"/>
        </w:numPr>
        <w:jc w:val="both"/>
        <w:rPr>
          <w:lang w:val="hr-HR"/>
        </w:rPr>
      </w:pPr>
      <w:r w:rsidRPr="005824CB">
        <w:rPr>
          <w:lang w:val="hr-HR"/>
        </w:rPr>
        <w:t xml:space="preserve">tekuće </w:t>
      </w:r>
      <w:proofErr w:type="spellStart"/>
      <w:r w:rsidRPr="005824CB">
        <w:rPr>
          <w:lang w:val="hr-HR"/>
        </w:rPr>
        <w:t>grantove</w:t>
      </w:r>
      <w:proofErr w:type="spellEnd"/>
      <w:r w:rsidRPr="005824CB">
        <w:rPr>
          <w:lang w:val="hr-HR"/>
        </w:rPr>
        <w:t xml:space="preserve"> od inozemnih vlada i međunarodnih organizacija (</w:t>
      </w:r>
      <w:r w:rsidR="003E7134" w:rsidRPr="005824CB">
        <w:rPr>
          <w:lang w:val="hr-HR"/>
        </w:rPr>
        <w:t>potkategorija</w:t>
      </w:r>
      <w:r w:rsidRPr="005824CB">
        <w:rPr>
          <w:lang w:val="hr-HR"/>
        </w:rPr>
        <w:t xml:space="preserve"> 731</w:t>
      </w:r>
      <w:r w:rsidR="003E7134" w:rsidRPr="005824CB">
        <w:rPr>
          <w:lang w:val="hr-HR"/>
        </w:rPr>
        <w:t>0</w:t>
      </w:r>
      <w:r w:rsidRPr="005824CB">
        <w:rPr>
          <w:lang w:val="hr-HR"/>
        </w:rPr>
        <w:t xml:space="preserve">00) u ukupnom iznosu od </w:t>
      </w:r>
      <w:r w:rsidR="000E2364">
        <w:rPr>
          <w:lang w:val="hr-HR"/>
        </w:rPr>
        <w:t>50.000</w:t>
      </w:r>
      <w:r w:rsidRPr="005824CB">
        <w:rPr>
          <w:lang w:val="hr-HR"/>
        </w:rPr>
        <w:t xml:space="preserve"> KM,</w:t>
      </w:r>
      <w:r w:rsidR="003E7134" w:rsidRPr="005824CB">
        <w:rPr>
          <w:lang w:val="hr-HR"/>
        </w:rPr>
        <w:t xml:space="preserve"> a koji se odnose na sredstva </w:t>
      </w:r>
      <w:proofErr w:type="spellStart"/>
      <w:r w:rsidR="000E2364" w:rsidRPr="007158BF">
        <w:t>Ministarstva</w:t>
      </w:r>
      <w:proofErr w:type="spellEnd"/>
      <w:r w:rsidR="000E2364" w:rsidRPr="007158BF">
        <w:t xml:space="preserve"> </w:t>
      </w:r>
      <w:proofErr w:type="spellStart"/>
      <w:r w:rsidR="000E2364" w:rsidRPr="007158BF">
        <w:t>gospodarstva</w:t>
      </w:r>
      <w:proofErr w:type="spellEnd"/>
      <w:r w:rsidR="000E2364">
        <w:t xml:space="preserve">, </w:t>
      </w:r>
      <w:proofErr w:type="spellStart"/>
      <w:r w:rsidR="000E2364">
        <w:t>rada</w:t>
      </w:r>
      <w:proofErr w:type="spellEnd"/>
      <w:r w:rsidR="000E2364">
        <w:t xml:space="preserve"> </w:t>
      </w:r>
      <w:proofErr w:type="spellStart"/>
      <w:r w:rsidR="000E2364" w:rsidRPr="007158BF">
        <w:t>i</w:t>
      </w:r>
      <w:proofErr w:type="spellEnd"/>
      <w:r w:rsidR="000E2364" w:rsidRPr="007158BF">
        <w:t xml:space="preserve"> </w:t>
      </w:r>
      <w:proofErr w:type="spellStart"/>
      <w:r w:rsidR="000E2364" w:rsidRPr="007158BF">
        <w:t>prostornog</w:t>
      </w:r>
      <w:proofErr w:type="spellEnd"/>
      <w:r w:rsidR="000E2364" w:rsidRPr="007158BF">
        <w:t xml:space="preserve"> </w:t>
      </w:r>
      <w:proofErr w:type="spellStart"/>
      <w:r w:rsidR="000E2364" w:rsidRPr="007158BF">
        <w:t>uređenja</w:t>
      </w:r>
      <w:proofErr w:type="spellEnd"/>
      <w:r w:rsidR="000E2364" w:rsidRPr="007158BF">
        <w:t xml:space="preserve"> </w:t>
      </w:r>
      <w:proofErr w:type="spellStart"/>
      <w:r w:rsidR="000E2364" w:rsidRPr="007158BF">
        <w:t>iz</w:t>
      </w:r>
      <w:proofErr w:type="spellEnd"/>
      <w:r w:rsidR="000E2364" w:rsidRPr="007158BF">
        <w:t xml:space="preserve"> </w:t>
      </w:r>
      <w:proofErr w:type="spellStart"/>
      <w:r w:rsidR="000E2364" w:rsidRPr="007158BF">
        <w:t>Proračuna</w:t>
      </w:r>
      <w:proofErr w:type="spellEnd"/>
      <w:r w:rsidR="000E2364" w:rsidRPr="007158BF">
        <w:t xml:space="preserve"> </w:t>
      </w:r>
      <w:proofErr w:type="spellStart"/>
      <w:r w:rsidR="000E2364" w:rsidRPr="007158BF">
        <w:t>Federacije</w:t>
      </w:r>
      <w:proofErr w:type="spellEnd"/>
      <w:r w:rsidR="000E2364" w:rsidRPr="007158BF">
        <w:t xml:space="preserve"> </w:t>
      </w:r>
      <w:proofErr w:type="spellStart"/>
      <w:r w:rsidR="000E2364" w:rsidRPr="007158BF">
        <w:t>BiH</w:t>
      </w:r>
      <w:proofErr w:type="spellEnd"/>
      <w:r w:rsidR="000E2364" w:rsidRPr="007158BF">
        <w:t xml:space="preserve"> </w:t>
      </w:r>
      <w:proofErr w:type="spellStart"/>
      <w:r w:rsidR="000E2364" w:rsidRPr="007158BF">
        <w:t>za</w:t>
      </w:r>
      <w:proofErr w:type="spellEnd"/>
      <w:r w:rsidR="000E2364" w:rsidRPr="007158BF">
        <w:t xml:space="preserve"> </w:t>
      </w:r>
      <w:proofErr w:type="spellStart"/>
      <w:r w:rsidR="000E2364" w:rsidRPr="007158BF">
        <w:t>izradu</w:t>
      </w:r>
      <w:proofErr w:type="spellEnd"/>
      <w:r w:rsidR="000E2364" w:rsidRPr="007158BF">
        <w:t xml:space="preserve"> </w:t>
      </w:r>
      <w:proofErr w:type="spellStart"/>
      <w:r w:rsidR="000E2364" w:rsidRPr="007158BF">
        <w:t>Prostornog</w:t>
      </w:r>
      <w:proofErr w:type="spellEnd"/>
      <w:r w:rsidR="000E2364" w:rsidRPr="007158BF">
        <w:t xml:space="preserve"> </w:t>
      </w:r>
      <w:proofErr w:type="spellStart"/>
      <w:r w:rsidR="000E2364" w:rsidRPr="007158BF">
        <w:t>plana</w:t>
      </w:r>
      <w:proofErr w:type="spellEnd"/>
      <w:r w:rsidR="000E2364" w:rsidRPr="007158BF">
        <w:t xml:space="preserve"> (</w:t>
      </w:r>
      <w:proofErr w:type="spellStart"/>
      <w:r w:rsidR="000E2364" w:rsidRPr="007158BF">
        <w:t>kratkoročno</w:t>
      </w:r>
      <w:proofErr w:type="spellEnd"/>
      <w:r w:rsidR="000E2364" w:rsidRPr="007158BF">
        <w:t xml:space="preserve"> </w:t>
      </w:r>
      <w:proofErr w:type="spellStart"/>
      <w:r w:rsidR="000E2364" w:rsidRPr="007158BF">
        <w:t>razgraničena</w:t>
      </w:r>
      <w:proofErr w:type="spellEnd"/>
      <w:r w:rsidR="000E2364" w:rsidRPr="007158BF">
        <w:t xml:space="preserve">) u </w:t>
      </w:r>
      <w:proofErr w:type="spellStart"/>
      <w:r w:rsidR="000E2364" w:rsidRPr="007158BF">
        <w:t>iznosu</w:t>
      </w:r>
      <w:proofErr w:type="spellEnd"/>
      <w:r w:rsidR="000E2364" w:rsidRPr="007158BF">
        <w:t xml:space="preserve"> </w:t>
      </w:r>
      <w:proofErr w:type="spellStart"/>
      <w:r w:rsidR="000E2364" w:rsidRPr="007158BF">
        <w:t>od</w:t>
      </w:r>
      <w:proofErr w:type="spellEnd"/>
      <w:r w:rsidR="000E2364" w:rsidRPr="007158BF">
        <w:t xml:space="preserve"> 50.000 KM</w:t>
      </w:r>
      <w:r w:rsidR="003E7134" w:rsidRPr="005824CB">
        <w:rPr>
          <w:lang w:val="hr-HR"/>
        </w:rPr>
        <w:t>; i</w:t>
      </w:r>
    </w:p>
    <w:p w:rsidR="00CA1958" w:rsidRPr="005824CB" w:rsidRDefault="00F120C5" w:rsidP="00D63FFB">
      <w:pPr>
        <w:numPr>
          <w:ilvl w:val="0"/>
          <w:numId w:val="4"/>
        </w:numPr>
        <w:jc w:val="both"/>
        <w:rPr>
          <w:lang w:val="hr-HR"/>
        </w:rPr>
      </w:pPr>
      <w:r w:rsidRPr="005824CB">
        <w:rPr>
          <w:lang w:val="hr-HR"/>
        </w:rPr>
        <w:t>tek</w:t>
      </w:r>
      <w:r w:rsidR="003E7134" w:rsidRPr="005824CB">
        <w:rPr>
          <w:lang w:val="hr-HR"/>
        </w:rPr>
        <w:t xml:space="preserve">uće </w:t>
      </w:r>
      <w:proofErr w:type="spellStart"/>
      <w:r w:rsidRPr="005824CB">
        <w:rPr>
          <w:lang w:val="hr-HR"/>
        </w:rPr>
        <w:t>grantove</w:t>
      </w:r>
      <w:proofErr w:type="spellEnd"/>
      <w:r w:rsidRPr="005824CB">
        <w:rPr>
          <w:lang w:val="hr-HR"/>
        </w:rPr>
        <w:t xml:space="preserve"> od ostalih razina vlasti i fondova</w:t>
      </w:r>
      <w:r w:rsidR="003E7134" w:rsidRPr="005824CB">
        <w:rPr>
          <w:lang w:val="hr-HR"/>
        </w:rPr>
        <w:t xml:space="preserve"> (potkategorija 732000) u ukupnom iznosu od </w:t>
      </w:r>
      <w:r w:rsidR="00FD7643">
        <w:rPr>
          <w:lang w:val="hr-HR"/>
        </w:rPr>
        <w:t>10.093.070</w:t>
      </w:r>
      <w:r w:rsidR="003E7134" w:rsidRPr="005824CB">
        <w:rPr>
          <w:lang w:val="hr-HR"/>
        </w:rPr>
        <w:t xml:space="preserve"> KM,</w:t>
      </w:r>
      <w:r w:rsidRPr="005824CB">
        <w:rPr>
          <w:lang w:val="hr-HR"/>
        </w:rPr>
        <w:t xml:space="preserve"> kako slijedi:</w:t>
      </w:r>
    </w:p>
    <w:p w:rsidR="00FD7643" w:rsidRDefault="00FD7643" w:rsidP="00D63FFB">
      <w:pPr>
        <w:numPr>
          <w:ilvl w:val="2"/>
          <w:numId w:val="4"/>
        </w:numPr>
        <w:tabs>
          <w:tab w:val="clear" w:pos="2160"/>
          <w:tab w:val="num" w:pos="1560"/>
        </w:tabs>
        <w:ind w:left="1560"/>
        <w:jc w:val="both"/>
        <w:rPr>
          <w:lang w:val="hr-HR"/>
        </w:rPr>
      </w:pPr>
      <w:r>
        <w:rPr>
          <w:lang w:val="hr-HR"/>
        </w:rPr>
        <w:t xml:space="preserve">primljeni tekući </w:t>
      </w:r>
      <w:proofErr w:type="spellStart"/>
      <w:r>
        <w:rPr>
          <w:lang w:val="hr-HR"/>
        </w:rPr>
        <w:t>grantovi</w:t>
      </w:r>
      <w:proofErr w:type="spellEnd"/>
      <w:r>
        <w:rPr>
          <w:lang w:val="hr-HR"/>
        </w:rPr>
        <w:t xml:space="preserve"> od Države – „Sredstva za saniranje ekonomskih šteta“ u iznosu od 167.750 KM,</w:t>
      </w:r>
    </w:p>
    <w:p w:rsidR="00FD7643" w:rsidRDefault="00FD7643" w:rsidP="00D63FFB">
      <w:pPr>
        <w:numPr>
          <w:ilvl w:val="2"/>
          <w:numId w:val="4"/>
        </w:numPr>
        <w:tabs>
          <w:tab w:val="clear" w:pos="2160"/>
          <w:tab w:val="num" w:pos="1560"/>
        </w:tabs>
        <w:ind w:left="1560"/>
        <w:jc w:val="both"/>
        <w:rPr>
          <w:lang w:val="hr-HR"/>
        </w:rPr>
      </w:pPr>
      <w:r>
        <w:rPr>
          <w:lang w:val="hr-HR"/>
        </w:rPr>
        <w:t xml:space="preserve">sredstva Ministarstva gospodarstva, rada i prostornog uređenja </w:t>
      </w:r>
      <w:proofErr w:type="spellStart"/>
      <w:r>
        <w:rPr>
          <w:lang w:val="hr-HR"/>
        </w:rPr>
        <w:t>Županiej</w:t>
      </w:r>
      <w:proofErr w:type="spellEnd"/>
      <w:r>
        <w:rPr>
          <w:lang w:val="hr-HR"/>
        </w:rPr>
        <w:t xml:space="preserve"> Posavske dodijeljena iz Proračuna </w:t>
      </w:r>
      <w:proofErr w:type="spellStart"/>
      <w:r>
        <w:rPr>
          <w:lang w:val="hr-HR"/>
        </w:rPr>
        <w:t>FBiH</w:t>
      </w:r>
      <w:proofErr w:type="spellEnd"/>
      <w:r>
        <w:rPr>
          <w:lang w:val="hr-HR"/>
        </w:rPr>
        <w:t xml:space="preserve"> za izradu Prostornog plana (kratkoročno razgraničena) u iznosu od 42.480 KM,</w:t>
      </w:r>
    </w:p>
    <w:p w:rsidR="00AE5E7C" w:rsidRDefault="00CA1958" w:rsidP="00D63FFB">
      <w:pPr>
        <w:numPr>
          <w:ilvl w:val="2"/>
          <w:numId w:val="4"/>
        </w:numPr>
        <w:tabs>
          <w:tab w:val="clear" w:pos="2160"/>
          <w:tab w:val="num" w:pos="1560"/>
        </w:tabs>
        <w:ind w:left="1560"/>
        <w:jc w:val="both"/>
        <w:rPr>
          <w:lang w:val="hr-HR"/>
        </w:rPr>
      </w:pPr>
      <w:r w:rsidRPr="005824CB">
        <w:rPr>
          <w:lang w:val="hr-HR"/>
        </w:rPr>
        <w:t xml:space="preserve">sredstva iz Proračuna </w:t>
      </w:r>
      <w:proofErr w:type="spellStart"/>
      <w:r w:rsidRPr="005824CB">
        <w:rPr>
          <w:lang w:val="hr-HR"/>
        </w:rPr>
        <w:t>FBiH</w:t>
      </w:r>
      <w:proofErr w:type="spellEnd"/>
      <w:r w:rsidRPr="005824CB">
        <w:rPr>
          <w:lang w:val="hr-HR"/>
        </w:rPr>
        <w:t xml:space="preserve"> u iznosu od </w:t>
      </w:r>
      <w:r w:rsidR="00FD7643">
        <w:rPr>
          <w:lang w:val="hr-HR"/>
        </w:rPr>
        <w:t>244.680</w:t>
      </w:r>
      <w:r w:rsidR="003344E8">
        <w:rPr>
          <w:lang w:val="hr-HR"/>
        </w:rPr>
        <w:t xml:space="preserve"> KM Ministarstvu zdravstva i</w:t>
      </w:r>
      <w:r w:rsidRPr="005824CB">
        <w:rPr>
          <w:lang w:val="hr-HR"/>
        </w:rPr>
        <w:t xml:space="preserve">  socijalne politike</w:t>
      </w:r>
      <w:r w:rsidR="003344E8">
        <w:rPr>
          <w:lang w:val="hr-HR"/>
        </w:rPr>
        <w:t xml:space="preserve"> Županije Posavske</w:t>
      </w:r>
      <w:r w:rsidRPr="005824CB">
        <w:rPr>
          <w:lang w:val="hr-HR"/>
        </w:rPr>
        <w:t xml:space="preserve"> za primjenu Zakona o osnovama socijalne zaštite, zaštite civilnih žrtava rata i zaštite porodica s djecom («Službene novine Federacije Bosne i Hercegovine», broj: 36/99, 54/04, 39/06 i 14/09),</w:t>
      </w:r>
    </w:p>
    <w:p w:rsidR="0027185F" w:rsidRPr="0027185F" w:rsidRDefault="0027185F" w:rsidP="0027185F">
      <w:pPr>
        <w:numPr>
          <w:ilvl w:val="2"/>
          <w:numId w:val="4"/>
        </w:numPr>
        <w:tabs>
          <w:tab w:val="clear" w:pos="2160"/>
          <w:tab w:val="num" w:pos="1560"/>
        </w:tabs>
        <w:ind w:left="1560"/>
        <w:jc w:val="both"/>
        <w:rPr>
          <w:lang w:val="hr-HR"/>
        </w:rPr>
      </w:pPr>
      <w:proofErr w:type="spellStart"/>
      <w:r>
        <w:t>tekuća</w:t>
      </w:r>
      <w:proofErr w:type="spellEnd"/>
      <w:r>
        <w:t xml:space="preserve"> </w:t>
      </w:r>
      <w:proofErr w:type="spellStart"/>
      <w:r>
        <w:t>potpora</w:t>
      </w:r>
      <w:proofErr w:type="spellEnd"/>
      <w:r>
        <w:t xml:space="preserve"> </w:t>
      </w:r>
      <w:proofErr w:type="spellStart"/>
      <w:r w:rsidRPr="0082153E">
        <w:t>Proračunu</w:t>
      </w:r>
      <w:proofErr w:type="spellEnd"/>
      <w:r w:rsidRPr="0082153E">
        <w:t xml:space="preserve"> Županije Posavske</w:t>
      </w:r>
      <w:r>
        <w:t xml:space="preserve"> </w:t>
      </w:r>
      <w:proofErr w:type="spellStart"/>
      <w:r>
        <w:t>od</w:t>
      </w:r>
      <w:proofErr w:type="spellEnd"/>
      <w:r>
        <w:t xml:space="preserve"> </w:t>
      </w:r>
      <w:proofErr w:type="spellStart"/>
      <w:r>
        <w:t>Proračuna</w:t>
      </w:r>
      <w:proofErr w:type="spellEnd"/>
      <w:r>
        <w:t xml:space="preserve"> </w:t>
      </w:r>
      <w:proofErr w:type="spellStart"/>
      <w:r>
        <w:t>Federacije</w:t>
      </w:r>
      <w:proofErr w:type="spellEnd"/>
      <w:r>
        <w:t xml:space="preserve"> </w:t>
      </w:r>
      <w:proofErr w:type="spellStart"/>
      <w:r>
        <w:t>BiH</w:t>
      </w:r>
      <w:proofErr w:type="spellEnd"/>
      <w:r>
        <w:t xml:space="preserve"> </w:t>
      </w:r>
      <w:proofErr w:type="spellStart"/>
      <w:r>
        <w:t>iz</w:t>
      </w:r>
      <w:proofErr w:type="spellEnd"/>
      <w:r>
        <w:t xml:space="preserve"> </w:t>
      </w:r>
      <w:proofErr w:type="spellStart"/>
      <w:r>
        <w:t>paketa</w:t>
      </w:r>
      <w:proofErr w:type="spellEnd"/>
      <w:r>
        <w:t xml:space="preserve"> </w:t>
      </w:r>
      <w:proofErr w:type="spellStart"/>
      <w:r>
        <w:t>makrofinancijske</w:t>
      </w:r>
      <w:proofErr w:type="spellEnd"/>
      <w:r>
        <w:t xml:space="preserve"> </w:t>
      </w:r>
      <w:proofErr w:type="spellStart"/>
      <w:r>
        <w:t>potpore</w:t>
      </w:r>
      <w:proofErr w:type="spellEnd"/>
      <w:r>
        <w:t xml:space="preserve"> </w:t>
      </w:r>
      <w:proofErr w:type="spellStart"/>
      <w:r>
        <w:t>Europske</w:t>
      </w:r>
      <w:proofErr w:type="spellEnd"/>
      <w:r>
        <w:t xml:space="preserve"> </w:t>
      </w:r>
      <w:proofErr w:type="spellStart"/>
      <w:r>
        <w:t>unije</w:t>
      </w:r>
      <w:proofErr w:type="spellEnd"/>
      <w:r>
        <w:t xml:space="preserve"> (EU) u </w:t>
      </w:r>
      <w:proofErr w:type="spellStart"/>
      <w:r>
        <w:t>iznosu</w:t>
      </w:r>
      <w:proofErr w:type="spellEnd"/>
      <w:r>
        <w:t xml:space="preserve"> </w:t>
      </w:r>
      <w:proofErr w:type="spellStart"/>
      <w:r>
        <w:t>od</w:t>
      </w:r>
      <w:proofErr w:type="spellEnd"/>
      <w:r>
        <w:t xml:space="preserve"> 970.000 KM,</w:t>
      </w:r>
    </w:p>
    <w:p w:rsidR="0027185F" w:rsidRPr="00922519" w:rsidRDefault="0027185F" w:rsidP="00D63FFB">
      <w:pPr>
        <w:numPr>
          <w:ilvl w:val="2"/>
          <w:numId w:val="4"/>
        </w:numPr>
        <w:tabs>
          <w:tab w:val="clear" w:pos="2160"/>
          <w:tab w:val="num" w:pos="1560"/>
        </w:tabs>
        <w:ind w:left="1560"/>
        <w:jc w:val="both"/>
        <w:rPr>
          <w:lang w:val="hr-HR"/>
        </w:rPr>
      </w:pPr>
      <w:proofErr w:type="spellStart"/>
      <w:proofErr w:type="gramStart"/>
      <w:r w:rsidRPr="00922519">
        <w:t>tekuća</w:t>
      </w:r>
      <w:proofErr w:type="spellEnd"/>
      <w:proofErr w:type="gramEnd"/>
      <w:r w:rsidRPr="00922519">
        <w:t xml:space="preserve"> </w:t>
      </w:r>
      <w:proofErr w:type="spellStart"/>
      <w:r w:rsidRPr="00922519">
        <w:t>potpora</w:t>
      </w:r>
      <w:proofErr w:type="spellEnd"/>
      <w:r w:rsidRPr="00922519">
        <w:t xml:space="preserve"> </w:t>
      </w:r>
      <w:proofErr w:type="spellStart"/>
      <w:r w:rsidRPr="00922519">
        <w:t>Proračunu</w:t>
      </w:r>
      <w:proofErr w:type="spellEnd"/>
      <w:r w:rsidRPr="00922519">
        <w:t xml:space="preserve"> Županije Posavske </w:t>
      </w:r>
      <w:proofErr w:type="spellStart"/>
      <w:r w:rsidRPr="00922519">
        <w:t>od</w:t>
      </w:r>
      <w:proofErr w:type="spellEnd"/>
      <w:r w:rsidRPr="00922519">
        <w:t xml:space="preserve"> </w:t>
      </w:r>
      <w:proofErr w:type="spellStart"/>
      <w:r w:rsidRPr="00922519">
        <w:t>Proračuna</w:t>
      </w:r>
      <w:proofErr w:type="spellEnd"/>
      <w:r w:rsidRPr="00922519">
        <w:t xml:space="preserve"> </w:t>
      </w:r>
      <w:proofErr w:type="spellStart"/>
      <w:r w:rsidRPr="00922519">
        <w:t>Federacije</w:t>
      </w:r>
      <w:proofErr w:type="spellEnd"/>
      <w:r w:rsidRPr="00922519">
        <w:t xml:space="preserve"> </w:t>
      </w:r>
      <w:proofErr w:type="spellStart"/>
      <w:r w:rsidRPr="00922519">
        <w:t>BiH</w:t>
      </w:r>
      <w:proofErr w:type="spellEnd"/>
      <w:r w:rsidRPr="00922519">
        <w:t xml:space="preserve"> </w:t>
      </w:r>
      <w:proofErr w:type="spellStart"/>
      <w:r w:rsidRPr="00922519">
        <w:t>iz</w:t>
      </w:r>
      <w:proofErr w:type="spellEnd"/>
      <w:r w:rsidRPr="00922519">
        <w:t xml:space="preserve"> </w:t>
      </w:r>
      <w:proofErr w:type="spellStart"/>
      <w:r w:rsidRPr="00922519">
        <w:t>sredstava</w:t>
      </w:r>
      <w:proofErr w:type="spellEnd"/>
      <w:r w:rsidRPr="00922519">
        <w:t xml:space="preserve"> </w:t>
      </w:r>
      <w:proofErr w:type="spellStart"/>
      <w:r w:rsidRPr="00922519">
        <w:t>Međunarodnog</w:t>
      </w:r>
      <w:proofErr w:type="spellEnd"/>
      <w:r w:rsidRPr="00922519">
        <w:t xml:space="preserve"> </w:t>
      </w:r>
      <w:proofErr w:type="spellStart"/>
      <w:r w:rsidRPr="00922519">
        <w:t>monetarnog</w:t>
      </w:r>
      <w:proofErr w:type="spellEnd"/>
      <w:r w:rsidRPr="00922519">
        <w:t xml:space="preserve"> </w:t>
      </w:r>
      <w:proofErr w:type="spellStart"/>
      <w:r w:rsidRPr="00922519">
        <w:t>fonda</w:t>
      </w:r>
      <w:proofErr w:type="spellEnd"/>
      <w:r w:rsidRPr="00922519">
        <w:t xml:space="preserve"> (MMF) </w:t>
      </w:r>
      <w:proofErr w:type="spellStart"/>
      <w:r w:rsidRPr="00922519">
        <w:t>za</w:t>
      </w:r>
      <w:proofErr w:type="spellEnd"/>
      <w:r w:rsidRPr="00922519">
        <w:t xml:space="preserve"> 2020. </w:t>
      </w:r>
      <w:proofErr w:type="spellStart"/>
      <w:r w:rsidRPr="00922519">
        <w:t>godinu</w:t>
      </w:r>
      <w:proofErr w:type="spellEnd"/>
      <w:r w:rsidRPr="00922519">
        <w:t xml:space="preserve"> u </w:t>
      </w:r>
      <w:proofErr w:type="spellStart"/>
      <w:r w:rsidRPr="00922519">
        <w:t>iznosu</w:t>
      </w:r>
      <w:proofErr w:type="spellEnd"/>
      <w:r w:rsidRPr="00922519">
        <w:t xml:space="preserve"> </w:t>
      </w:r>
      <w:proofErr w:type="spellStart"/>
      <w:r w:rsidRPr="00922519">
        <w:t>od</w:t>
      </w:r>
      <w:proofErr w:type="spellEnd"/>
      <w:r w:rsidRPr="00922519">
        <w:t xml:space="preserve"> 1.000.000 KM (</w:t>
      </w:r>
      <w:proofErr w:type="spellStart"/>
      <w:r w:rsidRPr="00922519">
        <w:t>kratkoročno</w:t>
      </w:r>
      <w:proofErr w:type="spellEnd"/>
      <w:r w:rsidRPr="00922519">
        <w:t xml:space="preserve"> </w:t>
      </w:r>
      <w:proofErr w:type="spellStart"/>
      <w:r w:rsidRPr="00922519">
        <w:t>razgraničena</w:t>
      </w:r>
      <w:proofErr w:type="spellEnd"/>
      <w:r w:rsidRPr="00922519">
        <w:t>),</w:t>
      </w:r>
    </w:p>
    <w:p w:rsidR="00CA1958" w:rsidRDefault="0027185F" w:rsidP="00D63FFB">
      <w:pPr>
        <w:numPr>
          <w:ilvl w:val="2"/>
          <w:numId w:val="4"/>
        </w:numPr>
        <w:tabs>
          <w:tab w:val="clear" w:pos="2160"/>
          <w:tab w:val="num" w:pos="1560"/>
        </w:tabs>
        <w:ind w:left="1560"/>
        <w:jc w:val="both"/>
        <w:rPr>
          <w:lang w:val="hr-HR"/>
        </w:rPr>
      </w:pPr>
      <w:proofErr w:type="spellStart"/>
      <w:proofErr w:type="gramStart"/>
      <w:r>
        <w:t>tekuća</w:t>
      </w:r>
      <w:proofErr w:type="spellEnd"/>
      <w:proofErr w:type="gramEnd"/>
      <w:r>
        <w:t xml:space="preserve"> </w:t>
      </w:r>
      <w:proofErr w:type="spellStart"/>
      <w:r>
        <w:t>potpora</w:t>
      </w:r>
      <w:proofErr w:type="spellEnd"/>
      <w:r>
        <w:t xml:space="preserve"> </w:t>
      </w:r>
      <w:proofErr w:type="spellStart"/>
      <w:r>
        <w:t>Proračunu</w:t>
      </w:r>
      <w:proofErr w:type="spellEnd"/>
      <w:r>
        <w:t xml:space="preserve"> Županije Posavske </w:t>
      </w:r>
      <w:proofErr w:type="spellStart"/>
      <w:r>
        <w:t>od</w:t>
      </w:r>
      <w:proofErr w:type="spellEnd"/>
      <w:r>
        <w:t xml:space="preserve"> </w:t>
      </w:r>
      <w:proofErr w:type="spellStart"/>
      <w:r>
        <w:t>Proračuna</w:t>
      </w:r>
      <w:proofErr w:type="spellEnd"/>
      <w:r>
        <w:t xml:space="preserve"> </w:t>
      </w:r>
      <w:proofErr w:type="spellStart"/>
      <w:r>
        <w:t>Federacije</w:t>
      </w:r>
      <w:proofErr w:type="spellEnd"/>
      <w:r>
        <w:t xml:space="preserve"> </w:t>
      </w:r>
      <w:proofErr w:type="spellStart"/>
      <w:r>
        <w:t>BiH</w:t>
      </w:r>
      <w:proofErr w:type="spellEnd"/>
      <w:r>
        <w:t xml:space="preserve"> </w:t>
      </w:r>
      <w:proofErr w:type="spellStart"/>
      <w:r>
        <w:t>iz</w:t>
      </w:r>
      <w:proofErr w:type="spellEnd"/>
      <w:r>
        <w:t xml:space="preserve"> </w:t>
      </w:r>
      <w:proofErr w:type="spellStart"/>
      <w:r>
        <w:t>sredstava</w:t>
      </w:r>
      <w:proofErr w:type="spellEnd"/>
      <w:r>
        <w:t xml:space="preserve"> </w:t>
      </w:r>
      <w:proofErr w:type="spellStart"/>
      <w:r>
        <w:t>Međunarodnog</w:t>
      </w:r>
      <w:proofErr w:type="spellEnd"/>
      <w:r>
        <w:t xml:space="preserve"> </w:t>
      </w:r>
      <w:proofErr w:type="spellStart"/>
      <w:r>
        <w:t>monetarnog</w:t>
      </w:r>
      <w:proofErr w:type="spellEnd"/>
      <w:r>
        <w:t xml:space="preserve"> </w:t>
      </w:r>
      <w:proofErr w:type="spellStart"/>
      <w:r>
        <w:t>fonda</w:t>
      </w:r>
      <w:proofErr w:type="spellEnd"/>
      <w:r>
        <w:t xml:space="preserve"> (MMF) </w:t>
      </w:r>
      <w:proofErr w:type="spellStart"/>
      <w:r>
        <w:t>za</w:t>
      </w:r>
      <w:proofErr w:type="spellEnd"/>
      <w:r>
        <w:t xml:space="preserve"> 2021. </w:t>
      </w:r>
      <w:proofErr w:type="spellStart"/>
      <w:r>
        <w:t>godinu</w:t>
      </w:r>
      <w:proofErr w:type="spellEnd"/>
      <w:r>
        <w:t xml:space="preserve"> u </w:t>
      </w:r>
      <w:proofErr w:type="spellStart"/>
      <w:r>
        <w:t>iznosu</w:t>
      </w:r>
      <w:proofErr w:type="spellEnd"/>
      <w:r>
        <w:t xml:space="preserve"> </w:t>
      </w:r>
      <w:proofErr w:type="spellStart"/>
      <w:r>
        <w:t>od</w:t>
      </w:r>
      <w:proofErr w:type="spellEnd"/>
      <w:r>
        <w:t xml:space="preserve"> 7.600.000 KM</w:t>
      </w:r>
      <w:r w:rsidR="003E7134" w:rsidRPr="005824CB">
        <w:rPr>
          <w:lang w:val="hr-HR"/>
        </w:rPr>
        <w:t xml:space="preserve">, </w:t>
      </w:r>
    </w:p>
    <w:p w:rsidR="000E2364" w:rsidRPr="005824CB" w:rsidRDefault="000E2364" w:rsidP="00D63FFB">
      <w:pPr>
        <w:numPr>
          <w:ilvl w:val="2"/>
          <w:numId w:val="4"/>
        </w:numPr>
        <w:tabs>
          <w:tab w:val="clear" w:pos="2160"/>
          <w:tab w:val="num" w:pos="1560"/>
        </w:tabs>
        <w:ind w:left="1560"/>
        <w:jc w:val="both"/>
        <w:rPr>
          <w:lang w:val="hr-HR"/>
        </w:rPr>
      </w:pPr>
      <w:r w:rsidRPr="005824CB">
        <w:rPr>
          <w:lang w:val="hr-HR"/>
        </w:rPr>
        <w:t xml:space="preserve">grant od Federalnog zavoda za zapošljavanje </w:t>
      </w:r>
      <w:r>
        <w:rPr>
          <w:lang w:val="hr-HR"/>
        </w:rPr>
        <w:t xml:space="preserve">za prijem pripravnika u ukupnom iznosu </w:t>
      </w:r>
      <w:r w:rsidRPr="005824CB">
        <w:rPr>
          <w:lang w:val="hr-HR"/>
        </w:rPr>
        <w:t xml:space="preserve">od </w:t>
      </w:r>
      <w:r w:rsidR="0027185F">
        <w:rPr>
          <w:lang w:val="hr-HR"/>
        </w:rPr>
        <w:t>50.160</w:t>
      </w:r>
      <w:r w:rsidRPr="005824CB">
        <w:rPr>
          <w:lang w:val="hr-HR"/>
        </w:rPr>
        <w:t xml:space="preserve"> KM</w:t>
      </w:r>
      <w:r>
        <w:rPr>
          <w:lang w:val="hr-HR"/>
        </w:rPr>
        <w:t>, i</w:t>
      </w:r>
    </w:p>
    <w:p w:rsidR="00AE5E7C" w:rsidRDefault="00F120C5" w:rsidP="00D63FFB">
      <w:pPr>
        <w:numPr>
          <w:ilvl w:val="2"/>
          <w:numId w:val="4"/>
        </w:numPr>
        <w:tabs>
          <w:tab w:val="clear" w:pos="2160"/>
          <w:tab w:val="num" w:pos="1560"/>
        </w:tabs>
        <w:ind w:left="1560"/>
        <w:jc w:val="both"/>
        <w:rPr>
          <w:lang w:val="hr-HR"/>
        </w:rPr>
      </w:pPr>
      <w:r w:rsidRPr="005824CB">
        <w:rPr>
          <w:lang w:val="hr-HR"/>
        </w:rPr>
        <w:t xml:space="preserve">grant od Federalnog zavoda za zapošljavanje </w:t>
      </w:r>
      <w:r w:rsidR="001B5FA2" w:rsidRPr="005824CB">
        <w:rPr>
          <w:lang w:val="hr-HR"/>
        </w:rPr>
        <w:t xml:space="preserve">osnovnim školama </w:t>
      </w:r>
      <w:r w:rsidRPr="005824CB">
        <w:rPr>
          <w:lang w:val="hr-HR"/>
        </w:rPr>
        <w:t xml:space="preserve">u ukupnom iznosu od </w:t>
      </w:r>
      <w:r w:rsidR="0027185F">
        <w:rPr>
          <w:lang w:val="hr-HR"/>
        </w:rPr>
        <w:t>18.000</w:t>
      </w:r>
      <w:r w:rsidRPr="005824CB">
        <w:rPr>
          <w:lang w:val="hr-HR"/>
        </w:rPr>
        <w:t xml:space="preserve"> KM na temelju Programa sufinanciranja zapošljavanja odgovarajućih stručnih kadrova za djecu s poteškoćama u razvoju u osnovnom obrazovanju</w:t>
      </w:r>
      <w:r w:rsidR="000E2364">
        <w:rPr>
          <w:lang w:val="hr-HR"/>
        </w:rPr>
        <w:t>.</w:t>
      </w:r>
    </w:p>
    <w:p w:rsidR="000E2364" w:rsidRPr="000E2364" w:rsidRDefault="000E2364" w:rsidP="000E2364">
      <w:pPr>
        <w:ind w:left="1560"/>
        <w:jc w:val="both"/>
        <w:rPr>
          <w:lang w:val="hr-HR"/>
        </w:rPr>
      </w:pPr>
    </w:p>
    <w:p w:rsidR="00AE5E7C" w:rsidRPr="005824CB" w:rsidRDefault="00AE5E7C" w:rsidP="00AE5E7C">
      <w:pPr>
        <w:ind w:firstLine="720"/>
        <w:jc w:val="both"/>
        <w:rPr>
          <w:lang w:val="hr-HR"/>
        </w:rPr>
      </w:pPr>
      <w:r w:rsidRPr="005824CB">
        <w:rPr>
          <w:lang w:val="hr-HR"/>
        </w:rPr>
        <w:lastRenderedPageBreak/>
        <w:t>U 20</w:t>
      </w:r>
      <w:r w:rsidR="000E2364">
        <w:rPr>
          <w:lang w:val="hr-HR"/>
        </w:rPr>
        <w:t>2</w:t>
      </w:r>
      <w:r w:rsidR="0027185F">
        <w:rPr>
          <w:lang w:val="hr-HR"/>
        </w:rPr>
        <w:t>1</w:t>
      </w:r>
      <w:r w:rsidRPr="005824CB">
        <w:rPr>
          <w:lang w:val="hr-HR"/>
        </w:rPr>
        <w:t>. godini</w:t>
      </w:r>
      <w:r w:rsidR="001B5FA2" w:rsidRPr="005824CB">
        <w:rPr>
          <w:lang w:val="hr-HR"/>
        </w:rPr>
        <w:t xml:space="preserve"> </w:t>
      </w:r>
      <w:r w:rsidRPr="005824CB">
        <w:rPr>
          <w:lang w:val="hr-HR"/>
        </w:rPr>
        <w:t xml:space="preserve">ne planiraju se </w:t>
      </w:r>
      <w:r w:rsidR="001B5FA2" w:rsidRPr="005824CB">
        <w:rPr>
          <w:lang w:val="hr-HR"/>
        </w:rPr>
        <w:t>donacije</w:t>
      </w:r>
      <w:r w:rsidRPr="005824CB">
        <w:rPr>
          <w:lang w:val="hr-HR"/>
        </w:rPr>
        <w:t>.</w:t>
      </w:r>
      <w:r w:rsidR="00113081" w:rsidRPr="005824CB">
        <w:rPr>
          <w:lang w:val="hr-HR"/>
        </w:rPr>
        <w:t xml:space="preserve"> Ukoliko se iste ostvare tijekom godine unijeti će se i rasporediti u Proračun odlukom Vlade.</w:t>
      </w:r>
    </w:p>
    <w:p w:rsidR="003E7134" w:rsidRPr="005824CB" w:rsidRDefault="003E7134" w:rsidP="00AE5E7C">
      <w:pPr>
        <w:ind w:firstLine="720"/>
        <w:jc w:val="both"/>
        <w:rPr>
          <w:lang w:val="hr-HR"/>
        </w:rPr>
      </w:pPr>
    </w:p>
    <w:p w:rsidR="00CA1958" w:rsidRPr="005824CB" w:rsidRDefault="00CA1958">
      <w:pPr>
        <w:pStyle w:val="Uvuenotijeloteksta"/>
        <w:spacing w:line="240" w:lineRule="auto"/>
        <w:rPr>
          <w:b/>
          <w:bCs/>
        </w:rPr>
      </w:pPr>
      <w:r w:rsidRPr="005824CB">
        <w:rPr>
          <w:b/>
          <w:bCs/>
        </w:rPr>
        <w:t xml:space="preserve">4.1.4 </w:t>
      </w:r>
      <w:r w:rsidRPr="005824CB">
        <w:rPr>
          <w:b/>
          <w:bCs/>
        </w:rPr>
        <w:tab/>
        <w:t>KAPITALNI GRANTOVI</w:t>
      </w:r>
    </w:p>
    <w:p w:rsidR="00CA1958" w:rsidRPr="005824CB" w:rsidRDefault="00CA1958">
      <w:pPr>
        <w:pStyle w:val="Uvuenotijeloteksta"/>
        <w:spacing w:line="240" w:lineRule="auto"/>
        <w:ind w:firstLine="0"/>
        <w:rPr>
          <w:b/>
          <w:bCs/>
          <w:i/>
        </w:rPr>
      </w:pPr>
    </w:p>
    <w:p w:rsidR="001B5FA2" w:rsidRPr="005824CB" w:rsidRDefault="00CA1958" w:rsidP="00AD7B8F">
      <w:pPr>
        <w:pStyle w:val="Uvuenotijeloteksta"/>
        <w:spacing w:line="240" w:lineRule="auto"/>
      </w:pPr>
      <w:r w:rsidRPr="005824CB">
        <w:t xml:space="preserve">Kapitalni </w:t>
      </w:r>
      <w:proofErr w:type="spellStart"/>
      <w:r w:rsidRPr="005824CB">
        <w:t>grantovi</w:t>
      </w:r>
      <w:proofErr w:type="spellEnd"/>
      <w:r w:rsidRPr="005824CB">
        <w:t xml:space="preserve"> (kategorija 740000) planirani su u iznosu od </w:t>
      </w:r>
      <w:r w:rsidR="000E2364">
        <w:t>100.000</w:t>
      </w:r>
      <w:r w:rsidRPr="005824CB">
        <w:t xml:space="preserve"> KM. U proračunskoj 20</w:t>
      </w:r>
      <w:r w:rsidR="0027185F">
        <w:t>20</w:t>
      </w:r>
      <w:r w:rsidRPr="005824CB">
        <w:t xml:space="preserve">. godini na kapitalnim </w:t>
      </w:r>
      <w:proofErr w:type="spellStart"/>
      <w:r w:rsidRPr="005824CB">
        <w:t>grantovima</w:t>
      </w:r>
      <w:proofErr w:type="spellEnd"/>
      <w:r w:rsidRPr="005824CB">
        <w:t xml:space="preserve"> planirano je </w:t>
      </w:r>
      <w:r w:rsidR="0027185F">
        <w:t>367</w:t>
      </w:r>
      <w:r w:rsidR="000E2364">
        <w:t>.</w:t>
      </w:r>
      <w:r w:rsidR="0027185F">
        <w:t>700</w:t>
      </w:r>
      <w:r w:rsidRPr="005824CB">
        <w:t xml:space="preserve"> KM, dok se planom za 20</w:t>
      </w:r>
      <w:r w:rsidR="000E2364">
        <w:t>2</w:t>
      </w:r>
      <w:r w:rsidR="0027185F">
        <w:t>1</w:t>
      </w:r>
      <w:r w:rsidRPr="005824CB">
        <w:t xml:space="preserve">. godinu planira njihova </w:t>
      </w:r>
      <w:r w:rsidR="001B5FA2" w:rsidRPr="005824CB">
        <w:t>manja</w:t>
      </w:r>
      <w:r w:rsidRPr="005824CB">
        <w:t xml:space="preserve"> realizacija za </w:t>
      </w:r>
      <w:r w:rsidR="0027185F">
        <w:t>62,80</w:t>
      </w:r>
      <w:r w:rsidRPr="005824CB">
        <w:t xml:space="preserve">% ili </w:t>
      </w:r>
      <w:r w:rsidR="0027185F">
        <w:t>267.700</w:t>
      </w:r>
      <w:r w:rsidRPr="005824CB">
        <w:t xml:space="preserve"> KM </w:t>
      </w:r>
      <w:r w:rsidR="001B5FA2" w:rsidRPr="005824CB">
        <w:t>manje</w:t>
      </w:r>
      <w:r w:rsidRPr="005824CB">
        <w:t>.</w:t>
      </w:r>
      <w:r w:rsidR="00DF4164" w:rsidRPr="005824CB">
        <w:t xml:space="preserve"> </w:t>
      </w:r>
      <w:r w:rsidRPr="005824CB">
        <w:t xml:space="preserve">Navedeni iznos planiranih kapitalnih </w:t>
      </w:r>
      <w:proofErr w:type="spellStart"/>
      <w:r w:rsidRPr="005824CB">
        <w:t>grantova</w:t>
      </w:r>
      <w:proofErr w:type="spellEnd"/>
      <w:r w:rsidRPr="005824CB">
        <w:t xml:space="preserve"> </w:t>
      </w:r>
      <w:r w:rsidR="000E2364">
        <w:t xml:space="preserve">odnosi se na </w:t>
      </w:r>
      <w:r w:rsidR="00AD7B8F">
        <w:t>k</w:t>
      </w:r>
      <w:r w:rsidRPr="005824CB">
        <w:t>apitaln</w:t>
      </w:r>
      <w:r w:rsidR="00AD7B8F">
        <w:t>i</w:t>
      </w:r>
      <w:r w:rsidRPr="005824CB">
        <w:t xml:space="preserve"> grant od </w:t>
      </w:r>
      <w:r w:rsidR="00524038" w:rsidRPr="005824CB">
        <w:t xml:space="preserve">Federalnog ministarstva </w:t>
      </w:r>
      <w:r w:rsidR="0027185F">
        <w:t xml:space="preserve">izbjeglih i raseljenih osoba </w:t>
      </w:r>
      <w:proofErr w:type="spellStart"/>
      <w:r w:rsidR="0027185F">
        <w:t>FBiH</w:t>
      </w:r>
      <w:proofErr w:type="spellEnd"/>
      <w:r w:rsidR="0027185F">
        <w:t xml:space="preserve"> </w:t>
      </w:r>
      <w:r w:rsidR="00524038" w:rsidRPr="005824CB">
        <w:t>dodijeljen</w:t>
      </w:r>
      <w:r w:rsidR="00AD7B8F">
        <w:t xml:space="preserve"> u 20</w:t>
      </w:r>
      <w:r w:rsidR="0027185F">
        <w:t>20</w:t>
      </w:r>
      <w:r w:rsidR="00AD7B8F">
        <w:t xml:space="preserve">. godini Ministarstvu </w:t>
      </w:r>
      <w:r w:rsidR="0027185F">
        <w:t>prometa, veza i zaštite okoliša</w:t>
      </w:r>
      <w:r w:rsidR="00AD7B8F">
        <w:t xml:space="preserve"> Županije Posavske, </w:t>
      </w:r>
      <w:r w:rsidR="0027185F">
        <w:t>razgraničenih</w:t>
      </w:r>
      <w:r w:rsidR="00AD7B8F">
        <w:t xml:space="preserve"> za potrošnju u 202</w:t>
      </w:r>
      <w:r w:rsidR="0027185F">
        <w:t>1</w:t>
      </w:r>
      <w:r w:rsidR="00AD7B8F">
        <w:t xml:space="preserve">. godini. </w:t>
      </w:r>
      <w:r w:rsidR="00524038" w:rsidRPr="005824CB">
        <w:t xml:space="preserve"> </w:t>
      </w:r>
    </w:p>
    <w:p w:rsidR="00AD7B8F" w:rsidRDefault="00AD7B8F">
      <w:pPr>
        <w:pStyle w:val="Uvuenotijeloteksta"/>
        <w:spacing w:line="240" w:lineRule="auto"/>
        <w:rPr>
          <w:b/>
          <w:bCs/>
        </w:rPr>
      </w:pPr>
    </w:p>
    <w:p w:rsidR="00CA1958" w:rsidRPr="005824CB" w:rsidRDefault="00CA1958">
      <w:pPr>
        <w:pStyle w:val="Uvuenotijeloteksta"/>
        <w:spacing w:line="240" w:lineRule="auto"/>
        <w:rPr>
          <w:b/>
          <w:bCs/>
        </w:rPr>
      </w:pPr>
      <w:r w:rsidRPr="005824CB">
        <w:rPr>
          <w:b/>
          <w:bCs/>
        </w:rPr>
        <w:t xml:space="preserve">4.1.5 </w:t>
      </w:r>
      <w:r w:rsidRPr="005824CB">
        <w:rPr>
          <w:b/>
          <w:bCs/>
        </w:rPr>
        <w:tab/>
        <w:t>PRIHODI PO OSNOVI ZAOSTALIH OBVEZA</w:t>
      </w:r>
    </w:p>
    <w:p w:rsidR="00CA1958" w:rsidRPr="005824CB" w:rsidRDefault="00CA1958">
      <w:pPr>
        <w:pStyle w:val="Uvuenotijeloteksta"/>
        <w:spacing w:line="240" w:lineRule="auto"/>
        <w:ind w:firstLine="0"/>
        <w:rPr>
          <w:b/>
          <w:bCs/>
          <w:i/>
        </w:rPr>
      </w:pPr>
    </w:p>
    <w:p w:rsidR="00CA1958" w:rsidRPr="005824CB" w:rsidRDefault="00CA1958">
      <w:pPr>
        <w:pStyle w:val="Uvuenotijeloteksta"/>
        <w:spacing w:line="240" w:lineRule="auto"/>
      </w:pPr>
      <w:r w:rsidRPr="005824CB">
        <w:t xml:space="preserve">Prihodi po osnovi zaostalih obveza (glavna kategorija) 770000 planirani su u iznosu od </w:t>
      </w:r>
      <w:r w:rsidR="0027185F">
        <w:t>350</w:t>
      </w:r>
      <w:r w:rsidRPr="005824CB">
        <w:t xml:space="preserve"> KM. U ovu kategoriju prihoda spadaju uplate zaostalih obveza od poreza na promet visokotarifnih proizvoda kao i uplate zaostalih obveza od naknada za </w:t>
      </w:r>
      <w:proofErr w:type="spellStart"/>
      <w:r w:rsidRPr="005824CB">
        <w:t>puteve</w:t>
      </w:r>
      <w:proofErr w:type="spellEnd"/>
      <w:r w:rsidRPr="005824CB">
        <w:t xml:space="preserve"> iz cijene naftnih derivata, čiji se iznos (obzirom da se radi o zaostalim obvezama) iz godine u godinu smanjuje.</w:t>
      </w:r>
    </w:p>
    <w:p w:rsidR="00FB659B" w:rsidRDefault="00FB659B">
      <w:pPr>
        <w:jc w:val="both"/>
        <w:rPr>
          <w:lang w:val="hr-HR"/>
        </w:rPr>
      </w:pPr>
    </w:p>
    <w:p w:rsidR="00F354BB" w:rsidRPr="005824CB" w:rsidRDefault="00F354BB">
      <w:pPr>
        <w:jc w:val="both"/>
        <w:rPr>
          <w:lang w:val="hr-HR"/>
        </w:rPr>
      </w:pPr>
    </w:p>
    <w:p w:rsidR="00581DC1" w:rsidRPr="005824CB" w:rsidRDefault="00581DC1">
      <w:pPr>
        <w:jc w:val="both"/>
        <w:rPr>
          <w:lang w:val="hr-HR"/>
        </w:rPr>
      </w:pPr>
    </w:p>
    <w:tbl>
      <w:tblPr>
        <w:tblW w:w="0" w:type="auto"/>
        <w:tblLook w:val="0000"/>
      </w:tblPr>
      <w:tblGrid>
        <w:gridCol w:w="828"/>
        <w:gridCol w:w="8771"/>
      </w:tblGrid>
      <w:tr w:rsidR="00CA1958" w:rsidRPr="005824CB">
        <w:tc>
          <w:tcPr>
            <w:tcW w:w="828" w:type="dxa"/>
            <w:shd w:val="clear" w:color="auto" w:fill="404040"/>
          </w:tcPr>
          <w:p w:rsidR="00CA1958" w:rsidRPr="005824CB" w:rsidRDefault="00CA1958">
            <w:pPr>
              <w:pStyle w:val="Naslov"/>
              <w:rPr>
                <w:color w:val="FFFFFF"/>
              </w:rPr>
            </w:pPr>
            <w:r w:rsidRPr="005824CB">
              <w:br w:type="page"/>
            </w:r>
            <w:r w:rsidRPr="005824CB">
              <w:rPr>
                <w:color w:val="FFFFFF"/>
              </w:rPr>
              <w:t>5.</w:t>
            </w:r>
          </w:p>
        </w:tc>
        <w:tc>
          <w:tcPr>
            <w:tcW w:w="8771" w:type="dxa"/>
          </w:tcPr>
          <w:p w:rsidR="00CA1958" w:rsidRPr="005824CB" w:rsidRDefault="00CA1958" w:rsidP="0027185F">
            <w:pPr>
              <w:pStyle w:val="Naslov"/>
              <w:jc w:val="both"/>
            </w:pPr>
            <w:r w:rsidRPr="005824CB">
              <w:t>STRUKTURA PRORAČUNA ŽUPANIJE POSAVSKE ZA 20</w:t>
            </w:r>
            <w:r w:rsidR="00AD7B8F">
              <w:t>2</w:t>
            </w:r>
            <w:r w:rsidR="0027185F">
              <w:t>1</w:t>
            </w:r>
            <w:r w:rsidRPr="005824CB">
              <w:t xml:space="preserve">. GODINU – </w:t>
            </w:r>
            <w:r w:rsidR="00AD7B8F">
              <w:t>RASHODI I IZDACI</w:t>
            </w:r>
          </w:p>
        </w:tc>
      </w:tr>
    </w:tbl>
    <w:p w:rsidR="00CA1958" w:rsidRPr="005824CB" w:rsidRDefault="00CA1958">
      <w:pPr>
        <w:jc w:val="both"/>
        <w:rPr>
          <w:lang w:val="hr-HR"/>
        </w:rPr>
      </w:pPr>
    </w:p>
    <w:p w:rsidR="00CA1958" w:rsidRPr="005824CB" w:rsidRDefault="00CA1958">
      <w:pPr>
        <w:ind w:firstLine="720"/>
        <w:jc w:val="both"/>
        <w:rPr>
          <w:lang w:val="hr-HR"/>
        </w:rPr>
      </w:pPr>
      <w:r w:rsidRPr="005824CB">
        <w:rPr>
          <w:lang w:val="hr-HR"/>
        </w:rPr>
        <w:t>Proračunom za fiskalnu 20</w:t>
      </w:r>
      <w:r w:rsidR="00AD7B8F">
        <w:rPr>
          <w:lang w:val="hr-HR"/>
        </w:rPr>
        <w:t>2</w:t>
      </w:r>
      <w:r w:rsidR="00006254">
        <w:rPr>
          <w:lang w:val="hr-HR"/>
        </w:rPr>
        <w:t>1</w:t>
      </w:r>
      <w:r w:rsidRPr="005824CB">
        <w:rPr>
          <w:lang w:val="hr-HR"/>
        </w:rPr>
        <w:t xml:space="preserve">. godinu ukupno planirani rashodi i izdaci iznose </w:t>
      </w:r>
      <w:r w:rsidR="00006254">
        <w:rPr>
          <w:lang w:val="hr-HR"/>
        </w:rPr>
        <w:t>44.502.900</w:t>
      </w:r>
      <w:r w:rsidRPr="005824CB">
        <w:rPr>
          <w:lang w:val="hr-HR"/>
        </w:rPr>
        <w:t xml:space="preserve"> KM</w:t>
      </w:r>
      <w:r w:rsidR="00AD7B8F">
        <w:rPr>
          <w:lang w:val="hr-HR"/>
        </w:rPr>
        <w:t>,</w:t>
      </w:r>
      <w:r w:rsidRPr="005824CB">
        <w:rPr>
          <w:lang w:val="hr-HR"/>
        </w:rPr>
        <w:t xml:space="preserve"> i </w:t>
      </w:r>
      <w:r w:rsidR="00AD7B8F">
        <w:rPr>
          <w:lang w:val="hr-HR"/>
        </w:rPr>
        <w:t>veći</w:t>
      </w:r>
      <w:r w:rsidRPr="005824CB">
        <w:rPr>
          <w:lang w:val="hr-HR"/>
        </w:rPr>
        <w:t xml:space="preserve"> su u odnosu na plan Proračuna za 20</w:t>
      </w:r>
      <w:r w:rsidR="00006254">
        <w:rPr>
          <w:lang w:val="hr-HR"/>
        </w:rPr>
        <w:t>20</w:t>
      </w:r>
      <w:r w:rsidRPr="005824CB">
        <w:rPr>
          <w:lang w:val="hr-HR"/>
        </w:rPr>
        <w:t xml:space="preserve">. godinu za </w:t>
      </w:r>
      <w:r w:rsidR="00006254">
        <w:rPr>
          <w:lang w:val="hr-HR"/>
        </w:rPr>
        <w:t>1,80</w:t>
      </w:r>
      <w:r w:rsidRPr="005824CB">
        <w:rPr>
          <w:lang w:val="hr-HR"/>
        </w:rPr>
        <w:t xml:space="preserve">%, odnosno u apsolutnom iznosu </w:t>
      </w:r>
      <w:r w:rsidR="00AD7B8F">
        <w:rPr>
          <w:lang w:val="hr-HR"/>
        </w:rPr>
        <w:t>veći</w:t>
      </w:r>
      <w:r w:rsidR="001B5FA2" w:rsidRPr="005824CB">
        <w:rPr>
          <w:lang w:val="hr-HR"/>
        </w:rPr>
        <w:t xml:space="preserve"> </w:t>
      </w:r>
      <w:r w:rsidRPr="005824CB">
        <w:rPr>
          <w:lang w:val="hr-HR"/>
        </w:rPr>
        <w:t xml:space="preserve">za </w:t>
      </w:r>
      <w:r w:rsidR="00006254">
        <w:rPr>
          <w:lang w:val="hr-HR"/>
        </w:rPr>
        <w:t>788.040</w:t>
      </w:r>
      <w:r w:rsidRPr="005824CB">
        <w:rPr>
          <w:lang w:val="hr-HR"/>
        </w:rPr>
        <w:t xml:space="preserve"> KM. Strukturu rashoda i izdataka čine </w:t>
      </w:r>
      <w:r w:rsidR="0089165F" w:rsidRPr="005824CB">
        <w:rPr>
          <w:lang w:val="hr-HR"/>
        </w:rPr>
        <w:t xml:space="preserve">proračunski </w:t>
      </w:r>
      <w:r w:rsidRPr="005824CB">
        <w:rPr>
          <w:lang w:val="hr-HR"/>
        </w:rPr>
        <w:t xml:space="preserve">rashodi </w:t>
      </w:r>
      <w:r w:rsidR="00AD7B8F">
        <w:rPr>
          <w:lang w:val="hr-HR"/>
        </w:rPr>
        <w:t xml:space="preserve">u iznosu od </w:t>
      </w:r>
      <w:r w:rsidR="00006254">
        <w:rPr>
          <w:lang w:val="hr-HR"/>
        </w:rPr>
        <w:t>42.298.630</w:t>
      </w:r>
      <w:r w:rsidR="00AD7B8F">
        <w:rPr>
          <w:lang w:val="hr-HR"/>
        </w:rPr>
        <w:t xml:space="preserve"> KM </w:t>
      </w:r>
      <w:r w:rsidRPr="005824CB">
        <w:rPr>
          <w:lang w:val="hr-HR"/>
        </w:rPr>
        <w:t xml:space="preserve">s udjelom </w:t>
      </w:r>
      <w:r w:rsidR="00006254">
        <w:rPr>
          <w:lang w:val="hr-HR"/>
        </w:rPr>
        <w:t>95,05</w:t>
      </w:r>
      <w:r w:rsidRPr="005824CB">
        <w:rPr>
          <w:lang w:val="hr-HR"/>
        </w:rPr>
        <w:t>%</w:t>
      </w:r>
      <w:r w:rsidR="0089165F" w:rsidRPr="005824CB">
        <w:rPr>
          <w:lang w:val="hr-HR"/>
        </w:rPr>
        <w:t xml:space="preserve">, izdaci za nabavku nefinancijske imovine </w:t>
      </w:r>
      <w:r w:rsidR="00AD7B8F">
        <w:rPr>
          <w:lang w:val="hr-HR"/>
        </w:rPr>
        <w:t xml:space="preserve">u iznosu od </w:t>
      </w:r>
      <w:r w:rsidR="00006254">
        <w:rPr>
          <w:lang w:val="hr-HR"/>
        </w:rPr>
        <w:t>1.687.000</w:t>
      </w:r>
      <w:r w:rsidR="00AD7B8F">
        <w:rPr>
          <w:lang w:val="hr-HR"/>
        </w:rPr>
        <w:t xml:space="preserve"> KM </w:t>
      </w:r>
      <w:r w:rsidR="0089165F" w:rsidRPr="005824CB">
        <w:rPr>
          <w:lang w:val="hr-HR"/>
        </w:rPr>
        <w:t xml:space="preserve">s udjelom </w:t>
      </w:r>
      <w:r w:rsidR="00006254">
        <w:rPr>
          <w:lang w:val="hr-HR"/>
        </w:rPr>
        <w:t>3,79</w:t>
      </w:r>
      <w:r w:rsidR="0089165F" w:rsidRPr="005824CB">
        <w:rPr>
          <w:lang w:val="hr-HR"/>
        </w:rPr>
        <w:t>%</w:t>
      </w:r>
      <w:r w:rsidR="00AD7B8F">
        <w:rPr>
          <w:lang w:val="hr-HR"/>
        </w:rPr>
        <w:t>,</w:t>
      </w:r>
      <w:r w:rsidR="0089165F" w:rsidRPr="005824CB">
        <w:rPr>
          <w:lang w:val="hr-HR"/>
        </w:rPr>
        <w:t xml:space="preserve"> i izdaci za nabavku financijske imovine i otplate dugova</w:t>
      </w:r>
      <w:r w:rsidR="00AD7B8F">
        <w:rPr>
          <w:lang w:val="hr-HR"/>
        </w:rPr>
        <w:t xml:space="preserve"> u iznosu od </w:t>
      </w:r>
      <w:r w:rsidR="00006254">
        <w:rPr>
          <w:lang w:val="hr-HR"/>
        </w:rPr>
        <w:t>517.270</w:t>
      </w:r>
      <w:r w:rsidR="00AD7B8F">
        <w:rPr>
          <w:lang w:val="hr-HR"/>
        </w:rPr>
        <w:t xml:space="preserve"> KM </w:t>
      </w:r>
      <w:r w:rsidR="0089165F" w:rsidRPr="005824CB">
        <w:rPr>
          <w:lang w:val="hr-HR"/>
        </w:rPr>
        <w:t xml:space="preserve">s udjelom </w:t>
      </w:r>
      <w:r w:rsidR="007546E8" w:rsidRPr="005824CB">
        <w:rPr>
          <w:lang w:val="hr-HR"/>
        </w:rPr>
        <w:t>1,</w:t>
      </w:r>
      <w:r w:rsidR="00006254">
        <w:rPr>
          <w:lang w:val="hr-HR"/>
        </w:rPr>
        <w:t>16</w:t>
      </w:r>
      <w:r w:rsidRPr="005824CB">
        <w:rPr>
          <w:lang w:val="hr-HR"/>
        </w:rPr>
        <w:t>%.</w:t>
      </w:r>
    </w:p>
    <w:p w:rsidR="00CA1958" w:rsidRPr="005824CB" w:rsidRDefault="00CA1958">
      <w:pPr>
        <w:pStyle w:val="Tijeloteksta-uvlaka2"/>
        <w:rPr>
          <w:color w:val="auto"/>
        </w:rPr>
      </w:pPr>
      <w:r w:rsidRPr="005824CB">
        <w:rPr>
          <w:color w:val="auto"/>
        </w:rPr>
        <w:t>Na slijedećem grafu prikazan je usporedni prikaz osnovnih skupina rashoda i izdataka u Proračunu Županije Posavske za 20</w:t>
      </w:r>
      <w:r w:rsidR="00006254">
        <w:rPr>
          <w:color w:val="auto"/>
        </w:rPr>
        <w:t>20</w:t>
      </w:r>
      <w:r w:rsidRPr="005824CB">
        <w:rPr>
          <w:color w:val="auto"/>
        </w:rPr>
        <w:t>. i 20</w:t>
      </w:r>
      <w:r w:rsidR="00AD7B8F">
        <w:rPr>
          <w:color w:val="auto"/>
        </w:rPr>
        <w:t>2</w:t>
      </w:r>
      <w:r w:rsidR="00006254">
        <w:rPr>
          <w:color w:val="auto"/>
        </w:rPr>
        <w:t>1</w:t>
      </w:r>
      <w:r w:rsidRPr="005824CB">
        <w:rPr>
          <w:color w:val="auto"/>
        </w:rPr>
        <w:t>. godinu.</w:t>
      </w:r>
    </w:p>
    <w:p w:rsidR="00CA1958" w:rsidRDefault="00C74E2C">
      <w:pPr>
        <w:jc w:val="center"/>
        <w:rPr>
          <w:lang w:val="hr-HR"/>
        </w:rPr>
      </w:pPr>
      <w:r w:rsidRPr="005824CB">
        <w:rPr>
          <w:noProof/>
          <w:lang w:val="hr-HR" w:eastAsia="hr-HR"/>
        </w:rPr>
        <w:drawing>
          <wp:inline distT="0" distB="0" distL="0" distR="0">
            <wp:extent cx="5664200" cy="2616200"/>
            <wp:effectExtent l="0" t="0" r="0" b="0"/>
            <wp:docPr id="27" name="Objek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0397" w:rsidRDefault="003A0397">
      <w:pPr>
        <w:jc w:val="center"/>
        <w:rPr>
          <w:lang w:val="hr-HR"/>
        </w:rPr>
      </w:pPr>
    </w:p>
    <w:p w:rsidR="003A0397" w:rsidRDefault="003A0397">
      <w:pPr>
        <w:jc w:val="center"/>
        <w:rPr>
          <w:lang w:val="hr-HR"/>
        </w:rPr>
      </w:pPr>
    </w:p>
    <w:p w:rsidR="003A0397" w:rsidRDefault="003A0397">
      <w:pPr>
        <w:jc w:val="center"/>
        <w:rPr>
          <w:lang w:val="hr-HR"/>
        </w:rPr>
      </w:pPr>
    </w:p>
    <w:p w:rsidR="003A0397" w:rsidRDefault="003A0397">
      <w:pPr>
        <w:jc w:val="center"/>
        <w:rPr>
          <w:lang w:val="hr-HR"/>
        </w:rPr>
      </w:pPr>
    </w:p>
    <w:p w:rsidR="003A0397" w:rsidRDefault="003A0397">
      <w:pPr>
        <w:jc w:val="center"/>
        <w:rPr>
          <w:lang w:val="hr-HR"/>
        </w:rPr>
      </w:pPr>
    </w:p>
    <w:p w:rsidR="00CA1958" w:rsidRPr="005824CB" w:rsidRDefault="002961C3">
      <w:pPr>
        <w:pStyle w:val="Naslov6"/>
        <w:spacing w:line="240" w:lineRule="auto"/>
        <w:ind w:left="0" w:firstLine="720"/>
      </w:pPr>
      <w:r w:rsidRPr="005824CB">
        <w:lastRenderedPageBreak/>
        <w:t>5.1.</w:t>
      </w:r>
      <w:r w:rsidR="00CA1958" w:rsidRPr="005824CB">
        <w:t xml:space="preserve"> </w:t>
      </w:r>
      <w:r w:rsidR="00CA1958" w:rsidRPr="005824CB">
        <w:tab/>
      </w:r>
      <w:r w:rsidR="0089165F" w:rsidRPr="005824CB">
        <w:t xml:space="preserve">PRORAČUNSKI </w:t>
      </w:r>
      <w:r w:rsidR="00CA1958" w:rsidRPr="005824CB">
        <w:t>RASHODI</w:t>
      </w:r>
    </w:p>
    <w:p w:rsidR="00CA1958" w:rsidRPr="005824CB" w:rsidRDefault="00CA1958">
      <w:pPr>
        <w:rPr>
          <w:lang w:val="hr-HR"/>
        </w:rPr>
      </w:pPr>
    </w:p>
    <w:p w:rsidR="00CA1958" w:rsidRPr="005824CB" w:rsidRDefault="00CA1958">
      <w:pPr>
        <w:autoSpaceDE w:val="0"/>
        <w:autoSpaceDN w:val="0"/>
        <w:adjustRightInd w:val="0"/>
        <w:ind w:firstLine="720"/>
        <w:jc w:val="both"/>
        <w:rPr>
          <w:lang w:val="hr-HR"/>
        </w:rPr>
      </w:pPr>
      <w:r w:rsidRPr="005824CB">
        <w:rPr>
          <w:lang w:val="hr-HR"/>
        </w:rPr>
        <w:t xml:space="preserve">Proračunom ukupno planirani </w:t>
      </w:r>
      <w:r w:rsidR="0089165F" w:rsidRPr="005824CB">
        <w:rPr>
          <w:lang w:val="hr-HR"/>
        </w:rPr>
        <w:t xml:space="preserve">proračunski </w:t>
      </w:r>
      <w:r w:rsidRPr="005824CB">
        <w:rPr>
          <w:lang w:val="hr-HR"/>
        </w:rPr>
        <w:t>rashodi (potkategorije: 600000-tekuće pričuve, 611000, 612000, 613000</w:t>
      </w:r>
      <w:r w:rsidR="0089165F" w:rsidRPr="005824CB">
        <w:rPr>
          <w:lang w:val="hr-HR"/>
        </w:rPr>
        <w:t>,</w:t>
      </w:r>
      <w:r w:rsidRPr="005824CB">
        <w:rPr>
          <w:lang w:val="hr-HR"/>
        </w:rPr>
        <w:t xml:space="preserve"> 614000</w:t>
      </w:r>
      <w:r w:rsidR="007546E8" w:rsidRPr="005824CB">
        <w:rPr>
          <w:lang w:val="hr-HR"/>
        </w:rPr>
        <w:t>, 615000</w:t>
      </w:r>
      <w:r w:rsidR="0089165F" w:rsidRPr="005824CB">
        <w:rPr>
          <w:lang w:val="hr-HR"/>
        </w:rPr>
        <w:t xml:space="preserve"> i 616000</w:t>
      </w:r>
      <w:r w:rsidRPr="005824CB">
        <w:rPr>
          <w:lang w:val="hr-HR"/>
        </w:rPr>
        <w:t xml:space="preserve">) iznose </w:t>
      </w:r>
      <w:r w:rsidR="007922E5">
        <w:rPr>
          <w:lang w:val="hr-HR"/>
        </w:rPr>
        <w:t>42.298.630</w:t>
      </w:r>
      <w:r w:rsidRPr="005824CB">
        <w:rPr>
          <w:lang w:val="hr-HR"/>
        </w:rPr>
        <w:t xml:space="preserve"> KM, odnosno </w:t>
      </w:r>
      <w:r w:rsidR="007922E5">
        <w:rPr>
          <w:lang w:val="hr-HR"/>
        </w:rPr>
        <w:t>2,88</w:t>
      </w:r>
      <w:r w:rsidRPr="005824CB">
        <w:rPr>
          <w:lang w:val="hr-HR"/>
        </w:rPr>
        <w:t xml:space="preserve">% </w:t>
      </w:r>
      <w:r w:rsidR="00AD7B8F">
        <w:rPr>
          <w:lang w:val="hr-HR"/>
        </w:rPr>
        <w:t>više</w:t>
      </w:r>
      <w:r w:rsidRPr="005824CB">
        <w:rPr>
          <w:lang w:val="hr-HR"/>
        </w:rPr>
        <w:t xml:space="preserve"> u odnosu na plan prethodne godine</w:t>
      </w:r>
      <w:r w:rsidR="00AD7B8F">
        <w:rPr>
          <w:lang w:val="hr-HR"/>
        </w:rPr>
        <w:t>,</w:t>
      </w:r>
      <w:r w:rsidRPr="005824CB">
        <w:rPr>
          <w:lang w:val="hr-HR"/>
        </w:rPr>
        <w:t xml:space="preserve"> ili </w:t>
      </w:r>
      <w:r w:rsidR="007922E5">
        <w:rPr>
          <w:lang w:val="hr-HR"/>
        </w:rPr>
        <w:t>1.185.780</w:t>
      </w:r>
      <w:r w:rsidRPr="005824CB">
        <w:rPr>
          <w:lang w:val="hr-HR"/>
        </w:rPr>
        <w:t xml:space="preserve"> KM </w:t>
      </w:r>
      <w:r w:rsidR="00AD7B8F">
        <w:rPr>
          <w:lang w:val="hr-HR"/>
        </w:rPr>
        <w:t>više</w:t>
      </w:r>
      <w:r w:rsidRPr="005824CB">
        <w:rPr>
          <w:lang w:val="hr-HR"/>
        </w:rPr>
        <w:t xml:space="preserve"> u apsolutnom iznosu.</w:t>
      </w:r>
    </w:p>
    <w:p w:rsidR="00CA1958" w:rsidRPr="005824CB" w:rsidRDefault="00CA1958">
      <w:pPr>
        <w:autoSpaceDE w:val="0"/>
        <w:autoSpaceDN w:val="0"/>
        <w:adjustRightInd w:val="0"/>
        <w:jc w:val="both"/>
        <w:rPr>
          <w:b/>
          <w:bCs/>
          <w:sz w:val="20"/>
          <w:lang w:val="hr-HR"/>
        </w:rPr>
      </w:pPr>
    </w:p>
    <w:p w:rsidR="00CA1958" w:rsidRPr="005824CB" w:rsidRDefault="002961C3">
      <w:pPr>
        <w:pStyle w:val="Naslov7"/>
        <w:spacing w:line="240" w:lineRule="auto"/>
        <w:ind w:firstLine="720"/>
      </w:pPr>
      <w:r w:rsidRPr="005824CB">
        <w:t>5.1.1.</w:t>
      </w:r>
      <w:r w:rsidRPr="005824CB">
        <w:tab/>
      </w:r>
      <w:r w:rsidR="00CA1958" w:rsidRPr="005824CB">
        <w:t>Tekuća pričuva</w:t>
      </w:r>
    </w:p>
    <w:p w:rsidR="00CA1958" w:rsidRPr="005824CB" w:rsidRDefault="00CA1958">
      <w:pPr>
        <w:ind w:firstLine="720"/>
        <w:jc w:val="both"/>
        <w:rPr>
          <w:lang w:val="hr-HR"/>
        </w:rPr>
      </w:pPr>
      <w:r w:rsidRPr="005824CB">
        <w:rPr>
          <w:lang w:val="hr-HR"/>
        </w:rPr>
        <w:t xml:space="preserve">Tekuća pričuva (klasa 600000) planirana je u ukupnom iznosu od </w:t>
      </w:r>
      <w:r w:rsidR="007922E5">
        <w:rPr>
          <w:lang w:val="hr-HR"/>
        </w:rPr>
        <w:t>348</w:t>
      </w:r>
      <w:r w:rsidRPr="005824CB">
        <w:rPr>
          <w:lang w:val="hr-HR"/>
        </w:rPr>
        <w:t>.000 KM</w:t>
      </w:r>
      <w:r w:rsidR="007546E8" w:rsidRPr="005824CB">
        <w:rPr>
          <w:lang w:val="hr-HR"/>
        </w:rPr>
        <w:t>,</w:t>
      </w:r>
      <w:r w:rsidRPr="005824CB">
        <w:rPr>
          <w:lang w:val="hr-HR"/>
        </w:rPr>
        <w:t xml:space="preserve"> te je u odnosu na planiranu tekuću pričuvu 20</w:t>
      </w:r>
      <w:r w:rsidR="007922E5">
        <w:rPr>
          <w:lang w:val="hr-HR"/>
        </w:rPr>
        <w:t>20</w:t>
      </w:r>
      <w:r w:rsidRPr="005824CB">
        <w:rPr>
          <w:lang w:val="hr-HR"/>
        </w:rPr>
        <w:t xml:space="preserve">. godine </w:t>
      </w:r>
      <w:r w:rsidR="009754FD" w:rsidRPr="005824CB">
        <w:rPr>
          <w:lang w:val="hr-HR"/>
        </w:rPr>
        <w:t>manja</w:t>
      </w:r>
      <w:r w:rsidRPr="005824CB">
        <w:rPr>
          <w:lang w:val="hr-HR"/>
        </w:rPr>
        <w:t xml:space="preserve"> za </w:t>
      </w:r>
      <w:r w:rsidR="007922E5">
        <w:rPr>
          <w:lang w:val="hr-HR"/>
        </w:rPr>
        <w:t>200</w:t>
      </w:r>
      <w:r w:rsidR="007546E8" w:rsidRPr="005824CB">
        <w:rPr>
          <w:lang w:val="hr-HR"/>
        </w:rPr>
        <w:t>.000</w:t>
      </w:r>
      <w:r w:rsidR="009754FD" w:rsidRPr="005824CB">
        <w:rPr>
          <w:lang w:val="hr-HR"/>
        </w:rPr>
        <w:t xml:space="preserve"> KM ili manja za </w:t>
      </w:r>
      <w:r w:rsidR="007922E5">
        <w:rPr>
          <w:lang w:val="hr-HR"/>
        </w:rPr>
        <w:t>36,50</w:t>
      </w:r>
      <w:r w:rsidR="009754FD" w:rsidRPr="005824CB">
        <w:rPr>
          <w:lang w:val="hr-HR"/>
        </w:rPr>
        <w:t>%.</w:t>
      </w:r>
    </w:p>
    <w:p w:rsidR="00CA1958" w:rsidRPr="005824CB" w:rsidRDefault="00CA1958">
      <w:pPr>
        <w:ind w:firstLine="720"/>
        <w:jc w:val="both"/>
        <w:rPr>
          <w:lang w:val="hr-HR"/>
        </w:rPr>
      </w:pPr>
      <w:r w:rsidRPr="005824CB">
        <w:rPr>
          <w:lang w:val="hr-HR"/>
        </w:rPr>
        <w:t xml:space="preserve">Tekuća pričuva Vlade planirana je u iznosu </w:t>
      </w:r>
      <w:r w:rsidR="001C4D1B">
        <w:rPr>
          <w:lang w:val="hr-HR"/>
        </w:rPr>
        <w:t>300</w:t>
      </w:r>
      <w:r w:rsidRPr="005824CB">
        <w:rPr>
          <w:lang w:val="hr-HR"/>
        </w:rPr>
        <w:t xml:space="preserve">.000 KM. </w:t>
      </w:r>
    </w:p>
    <w:p w:rsidR="00CA1958" w:rsidRPr="005824CB" w:rsidRDefault="00CA1958">
      <w:pPr>
        <w:pStyle w:val="Uvuenotijeloteksta"/>
        <w:spacing w:line="240" w:lineRule="auto"/>
      </w:pPr>
      <w:r w:rsidRPr="005824CB">
        <w:t>Tekuće pričuva pre</w:t>
      </w:r>
      <w:r w:rsidR="005824CB">
        <w:t xml:space="preserve">dsjednika Vlade iznosi </w:t>
      </w:r>
      <w:r w:rsidR="007922E5">
        <w:t>24</w:t>
      </w:r>
      <w:r w:rsidR="005824CB">
        <w:t>.000</w:t>
      </w:r>
      <w:r w:rsidRPr="005824CB">
        <w:t xml:space="preserve"> KM, dok tekuće pričuve zamjenika predsjednika Vlade i minist</w:t>
      </w:r>
      <w:r w:rsidR="005824CB">
        <w:t xml:space="preserve">ra financija iznose po </w:t>
      </w:r>
      <w:r w:rsidR="007922E5">
        <w:t>12</w:t>
      </w:r>
      <w:r w:rsidR="005824CB">
        <w:t>.000</w:t>
      </w:r>
      <w:r w:rsidRPr="005824CB">
        <w:t xml:space="preserve"> KM.</w:t>
      </w:r>
    </w:p>
    <w:p w:rsidR="00CA1958" w:rsidRPr="005824CB" w:rsidRDefault="00CA1958">
      <w:pPr>
        <w:ind w:firstLine="720"/>
        <w:jc w:val="both"/>
        <w:rPr>
          <w:lang w:val="hr-HR"/>
        </w:rPr>
      </w:pPr>
      <w:r w:rsidRPr="005824CB">
        <w:rPr>
          <w:lang w:val="hr-HR"/>
        </w:rPr>
        <w:t xml:space="preserve">Učešće tekućih pričuva u ukupnim prihodima bez namjenskih prihoda, vlastitih prihoda i primitaka iznosi </w:t>
      </w:r>
      <w:r w:rsidR="001C4D1B">
        <w:rPr>
          <w:lang w:val="hr-HR"/>
        </w:rPr>
        <w:t>0,8</w:t>
      </w:r>
      <w:r w:rsidR="007922E5">
        <w:rPr>
          <w:lang w:val="hr-HR"/>
        </w:rPr>
        <w:t>4</w:t>
      </w:r>
      <w:r w:rsidRPr="005824CB">
        <w:rPr>
          <w:lang w:val="hr-HR"/>
        </w:rPr>
        <w:t>%.</w:t>
      </w:r>
    </w:p>
    <w:p w:rsidR="00CA1958" w:rsidRPr="005824CB" w:rsidRDefault="00CA1958">
      <w:pPr>
        <w:pStyle w:val="Naslov6"/>
        <w:spacing w:line="240" w:lineRule="auto"/>
        <w:ind w:left="0" w:firstLine="720"/>
        <w:rPr>
          <w:sz w:val="20"/>
        </w:rPr>
      </w:pPr>
    </w:p>
    <w:p w:rsidR="00CA1958" w:rsidRPr="005824CB" w:rsidRDefault="002961C3">
      <w:pPr>
        <w:pStyle w:val="Naslov6"/>
        <w:spacing w:line="240" w:lineRule="auto"/>
        <w:ind w:left="0" w:firstLine="720"/>
      </w:pPr>
      <w:r w:rsidRPr="00082F7E">
        <w:t>5.1.2.</w:t>
      </w:r>
      <w:r w:rsidRPr="00082F7E">
        <w:tab/>
      </w:r>
      <w:r w:rsidR="00CA1958" w:rsidRPr="00082F7E">
        <w:t>Plaće i naknade troškova zaposlenih, doprinosi poslodavca i ostali doprinosi</w:t>
      </w:r>
    </w:p>
    <w:p w:rsidR="00CA1958" w:rsidRPr="005824CB" w:rsidRDefault="00CA1958">
      <w:pPr>
        <w:jc w:val="both"/>
        <w:rPr>
          <w:lang w:val="hr-HR"/>
        </w:rPr>
      </w:pPr>
      <w:r w:rsidRPr="005824CB">
        <w:rPr>
          <w:lang w:val="hr-HR"/>
        </w:rPr>
        <w:tab/>
        <w:t xml:space="preserve">Planirani izdaci na ime plaća i naknada troškova zaposlenih (potkategorija 611000) povećavaju se za </w:t>
      </w:r>
      <w:r w:rsidR="00915439">
        <w:rPr>
          <w:lang w:val="hr-HR"/>
        </w:rPr>
        <w:t>6,44</w:t>
      </w:r>
      <w:r w:rsidRPr="005824CB">
        <w:rPr>
          <w:lang w:val="hr-HR"/>
        </w:rPr>
        <w:t>% u odnosu na plan Proračuna 20</w:t>
      </w:r>
      <w:r w:rsidR="00915439">
        <w:rPr>
          <w:lang w:val="hr-HR"/>
        </w:rPr>
        <w:t>20</w:t>
      </w:r>
      <w:r w:rsidRPr="005824CB">
        <w:rPr>
          <w:lang w:val="hr-HR"/>
        </w:rPr>
        <w:t>. godine</w:t>
      </w:r>
      <w:r w:rsidR="00082F7E">
        <w:rPr>
          <w:lang w:val="hr-HR"/>
        </w:rPr>
        <w:t>,</w:t>
      </w:r>
      <w:r w:rsidRPr="005824CB">
        <w:rPr>
          <w:lang w:val="hr-HR"/>
        </w:rPr>
        <w:t xml:space="preserve"> i iznose </w:t>
      </w:r>
      <w:r w:rsidR="00915439">
        <w:rPr>
          <w:lang w:val="hr-HR"/>
        </w:rPr>
        <w:t>23.260.180</w:t>
      </w:r>
      <w:r w:rsidRPr="005824CB">
        <w:rPr>
          <w:lang w:val="hr-HR"/>
        </w:rPr>
        <w:t xml:space="preserve"> KM. </w:t>
      </w:r>
    </w:p>
    <w:p w:rsidR="00CA1958" w:rsidRPr="005824CB" w:rsidRDefault="00CA1958" w:rsidP="009754FD">
      <w:pPr>
        <w:ind w:firstLine="720"/>
        <w:jc w:val="both"/>
        <w:rPr>
          <w:lang w:val="hr-HR"/>
        </w:rPr>
      </w:pPr>
      <w:r w:rsidRPr="005824CB">
        <w:rPr>
          <w:lang w:val="hr-HR"/>
        </w:rPr>
        <w:t xml:space="preserve">U okviru ove pozicije, izdaci za bruto plaće i naknade plaća (glavna grupa 611100) </w:t>
      </w:r>
      <w:r w:rsidR="009754FD" w:rsidRPr="005824CB">
        <w:rPr>
          <w:lang w:val="hr-HR"/>
        </w:rPr>
        <w:t>povećani</w:t>
      </w:r>
      <w:r w:rsidRPr="005824CB">
        <w:rPr>
          <w:lang w:val="hr-HR"/>
        </w:rPr>
        <w:t xml:space="preserve"> su za </w:t>
      </w:r>
      <w:r w:rsidR="00915439">
        <w:rPr>
          <w:lang w:val="hr-HR"/>
        </w:rPr>
        <w:t>6,62</w:t>
      </w:r>
      <w:r w:rsidRPr="005824CB">
        <w:rPr>
          <w:lang w:val="hr-HR"/>
        </w:rPr>
        <w:t>% u odnosu na plan za 20</w:t>
      </w:r>
      <w:r w:rsidR="00915439">
        <w:rPr>
          <w:lang w:val="hr-HR"/>
        </w:rPr>
        <w:t>20</w:t>
      </w:r>
      <w:r w:rsidRPr="005824CB">
        <w:rPr>
          <w:lang w:val="hr-HR"/>
        </w:rPr>
        <w:t>. godinu. Planirani broj zaposlenih u proračunskim korisnicima u 20</w:t>
      </w:r>
      <w:r w:rsidR="00082F7E">
        <w:rPr>
          <w:lang w:val="hr-HR"/>
        </w:rPr>
        <w:t>2</w:t>
      </w:r>
      <w:r w:rsidR="00915439">
        <w:rPr>
          <w:lang w:val="hr-HR"/>
        </w:rPr>
        <w:t>1</w:t>
      </w:r>
      <w:r w:rsidRPr="005824CB">
        <w:rPr>
          <w:lang w:val="hr-HR"/>
        </w:rPr>
        <w:t xml:space="preserve">. godini iznosi </w:t>
      </w:r>
      <w:r w:rsidR="00082F7E">
        <w:rPr>
          <w:lang w:val="hr-HR"/>
        </w:rPr>
        <w:t>966</w:t>
      </w:r>
      <w:r w:rsidR="00915439">
        <w:rPr>
          <w:lang w:val="hr-HR"/>
        </w:rPr>
        <w:t>, dok je u 2020</w:t>
      </w:r>
      <w:r w:rsidRPr="005824CB">
        <w:rPr>
          <w:lang w:val="hr-HR"/>
        </w:rPr>
        <w:t xml:space="preserve">. godini planirano </w:t>
      </w:r>
      <w:r w:rsidR="00915439">
        <w:rPr>
          <w:lang w:val="hr-HR"/>
        </w:rPr>
        <w:t>950</w:t>
      </w:r>
      <w:r w:rsidRPr="005824CB">
        <w:rPr>
          <w:lang w:val="hr-HR"/>
        </w:rPr>
        <w:t xml:space="preserve"> zaposleni</w:t>
      </w:r>
      <w:r w:rsidR="009754FD" w:rsidRPr="005824CB">
        <w:rPr>
          <w:lang w:val="hr-HR"/>
        </w:rPr>
        <w:t>h</w:t>
      </w:r>
      <w:r w:rsidR="00BE2A18">
        <w:rPr>
          <w:lang w:val="hr-HR"/>
        </w:rPr>
        <w:t xml:space="preserve"> </w:t>
      </w:r>
      <w:r w:rsidR="009754FD" w:rsidRPr="005824CB">
        <w:rPr>
          <w:lang w:val="hr-HR"/>
        </w:rPr>
        <w:t xml:space="preserve">(povećanje za </w:t>
      </w:r>
      <w:r w:rsidR="00915439">
        <w:rPr>
          <w:lang w:val="hr-HR"/>
        </w:rPr>
        <w:t>16</w:t>
      </w:r>
      <w:r w:rsidR="009754FD" w:rsidRPr="005824CB">
        <w:rPr>
          <w:lang w:val="hr-HR"/>
        </w:rPr>
        <w:t xml:space="preserve"> zaposlenih)</w:t>
      </w:r>
      <w:r w:rsidRPr="005824CB">
        <w:rPr>
          <w:lang w:val="hr-HR"/>
        </w:rPr>
        <w:t xml:space="preserve">. </w:t>
      </w:r>
    </w:p>
    <w:p w:rsidR="00915439" w:rsidRDefault="009754FD" w:rsidP="00915439">
      <w:pPr>
        <w:ind w:firstLine="720"/>
        <w:jc w:val="both"/>
        <w:rPr>
          <w:lang w:val="hr-HR"/>
        </w:rPr>
      </w:pPr>
      <w:r w:rsidRPr="005824CB">
        <w:rPr>
          <w:lang w:val="hr-HR"/>
        </w:rPr>
        <w:t>Osim navedenog povećanja broja zaposlenih, izdaci na bruto plaće i naknade plaća te doprinose pos</w:t>
      </w:r>
      <w:r w:rsidR="00931AC1" w:rsidRPr="005824CB">
        <w:rPr>
          <w:lang w:val="hr-HR"/>
        </w:rPr>
        <w:t>lodavca povećavaju se i uslijed</w:t>
      </w:r>
      <w:r w:rsidRPr="005824CB">
        <w:rPr>
          <w:lang w:val="hr-HR"/>
        </w:rPr>
        <w:t xml:space="preserve"> </w:t>
      </w:r>
      <w:r w:rsidR="00915439">
        <w:rPr>
          <w:lang w:val="hr-HR"/>
        </w:rPr>
        <w:t xml:space="preserve">primjene novih </w:t>
      </w:r>
      <w:proofErr w:type="spellStart"/>
      <w:r w:rsidR="00915439">
        <w:t>Kolektivnih</w:t>
      </w:r>
      <w:proofErr w:type="spellEnd"/>
      <w:r w:rsidR="00915439" w:rsidRPr="001D5487">
        <w:t xml:space="preserve"> </w:t>
      </w:r>
      <w:proofErr w:type="spellStart"/>
      <w:r w:rsidR="00915439" w:rsidRPr="001D5487">
        <w:t>ugovor</w:t>
      </w:r>
      <w:r w:rsidR="00915439">
        <w:t>a</w:t>
      </w:r>
      <w:proofErr w:type="spellEnd"/>
      <w:r w:rsidR="00915439" w:rsidRPr="001D5487">
        <w:t xml:space="preserve"> </w:t>
      </w:r>
      <w:proofErr w:type="spellStart"/>
      <w:r w:rsidR="00915439" w:rsidRPr="00252459">
        <w:rPr>
          <w:bCs/>
        </w:rPr>
        <w:t>za</w:t>
      </w:r>
      <w:proofErr w:type="spellEnd"/>
      <w:r w:rsidR="00915439" w:rsidRPr="00252459">
        <w:rPr>
          <w:bCs/>
        </w:rPr>
        <w:t xml:space="preserve"> </w:t>
      </w:r>
      <w:proofErr w:type="spellStart"/>
      <w:r w:rsidR="00915439" w:rsidRPr="00252459">
        <w:rPr>
          <w:bCs/>
        </w:rPr>
        <w:t>djelatnike</w:t>
      </w:r>
      <w:proofErr w:type="spellEnd"/>
      <w:r w:rsidR="00915439" w:rsidRPr="00252459">
        <w:rPr>
          <w:bCs/>
        </w:rPr>
        <w:t xml:space="preserve"> </w:t>
      </w:r>
      <w:proofErr w:type="spellStart"/>
      <w:r w:rsidR="00915439" w:rsidRPr="00252459">
        <w:rPr>
          <w:bCs/>
        </w:rPr>
        <w:t>osnovnog</w:t>
      </w:r>
      <w:proofErr w:type="spellEnd"/>
      <w:r w:rsidR="00915439" w:rsidRPr="00252459">
        <w:rPr>
          <w:bCs/>
        </w:rPr>
        <w:t xml:space="preserve"> </w:t>
      </w:r>
      <w:proofErr w:type="spellStart"/>
      <w:r w:rsidR="00915439" w:rsidRPr="00252459">
        <w:rPr>
          <w:bCs/>
        </w:rPr>
        <w:t>obrazovanja</w:t>
      </w:r>
      <w:proofErr w:type="spellEnd"/>
      <w:r w:rsidR="00915439" w:rsidRPr="00252459">
        <w:rPr>
          <w:bCs/>
        </w:rPr>
        <w:t xml:space="preserve"> u ŽP </w:t>
      </w:r>
      <w:proofErr w:type="spellStart"/>
      <w:r w:rsidR="00915439" w:rsidRPr="00252459">
        <w:rPr>
          <w:bCs/>
        </w:rPr>
        <w:t>i</w:t>
      </w:r>
      <w:proofErr w:type="spellEnd"/>
      <w:r w:rsidR="00915439" w:rsidRPr="00252459">
        <w:rPr>
          <w:bCs/>
        </w:rPr>
        <w:t xml:space="preserve"> </w:t>
      </w:r>
      <w:proofErr w:type="spellStart"/>
      <w:r w:rsidR="00915439" w:rsidRPr="00252459">
        <w:rPr>
          <w:bCs/>
        </w:rPr>
        <w:t>djelatnike</w:t>
      </w:r>
      <w:proofErr w:type="spellEnd"/>
      <w:r w:rsidR="00915439" w:rsidRPr="00252459">
        <w:rPr>
          <w:bCs/>
        </w:rPr>
        <w:t xml:space="preserve"> </w:t>
      </w:r>
      <w:proofErr w:type="spellStart"/>
      <w:r w:rsidR="00915439" w:rsidRPr="00252459">
        <w:rPr>
          <w:bCs/>
        </w:rPr>
        <w:t>srednjeg</w:t>
      </w:r>
      <w:proofErr w:type="spellEnd"/>
      <w:r w:rsidR="00915439" w:rsidRPr="00252459">
        <w:rPr>
          <w:bCs/>
        </w:rPr>
        <w:t xml:space="preserve"> </w:t>
      </w:r>
      <w:proofErr w:type="spellStart"/>
      <w:r w:rsidR="00915439" w:rsidRPr="00252459">
        <w:rPr>
          <w:bCs/>
        </w:rPr>
        <w:t>obrazovanja</w:t>
      </w:r>
      <w:proofErr w:type="spellEnd"/>
      <w:r w:rsidR="00915439" w:rsidRPr="00252459">
        <w:rPr>
          <w:bCs/>
        </w:rPr>
        <w:t xml:space="preserve"> u ŽP („</w:t>
      </w:r>
      <w:proofErr w:type="spellStart"/>
      <w:r w:rsidR="00915439" w:rsidRPr="00252459">
        <w:rPr>
          <w:bCs/>
        </w:rPr>
        <w:t>Narodne</w:t>
      </w:r>
      <w:proofErr w:type="spellEnd"/>
      <w:r w:rsidR="00915439" w:rsidRPr="00252459">
        <w:rPr>
          <w:bCs/>
        </w:rPr>
        <w:t xml:space="preserve"> </w:t>
      </w:r>
      <w:proofErr w:type="spellStart"/>
      <w:r w:rsidR="00915439" w:rsidRPr="00252459">
        <w:rPr>
          <w:bCs/>
        </w:rPr>
        <w:t>novine</w:t>
      </w:r>
      <w:proofErr w:type="spellEnd"/>
      <w:r w:rsidR="00915439" w:rsidRPr="00252459">
        <w:rPr>
          <w:bCs/>
        </w:rPr>
        <w:t xml:space="preserve"> Županije Posavske”, </w:t>
      </w:r>
      <w:proofErr w:type="spellStart"/>
      <w:r w:rsidR="00915439" w:rsidRPr="00252459">
        <w:rPr>
          <w:bCs/>
        </w:rPr>
        <w:t>broj</w:t>
      </w:r>
      <w:proofErr w:type="spellEnd"/>
      <w:r w:rsidR="00915439" w:rsidRPr="00252459">
        <w:rPr>
          <w:bCs/>
        </w:rPr>
        <w:t xml:space="preserve">: 8/20 </w:t>
      </w:r>
      <w:proofErr w:type="spellStart"/>
      <w:r w:rsidR="00915439" w:rsidRPr="00252459">
        <w:rPr>
          <w:bCs/>
        </w:rPr>
        <w:t>i</w:t>
      </w:r>
      <w:proofErr w:type="spellEnd"/>
      <w:r w:rsidR="00915439" w:rsidRPr="00252459">
        <w:rPr>
          <w:bCs/>
        </w:rPr>
        <w:t xml:space="preserve"> 11/20)</w:t>
      </w:r>
      <w:r w:rsidR="00915439">
        <w:rPr>
          <w:lang w:val="hr-HR"/>
        </w:rPr>
        <w:t xml:space="preserve"> od 01.09.2020. godine (novi povećani koeficijenti za obračun plaća 2 platna razreda - </w:t>
      </w:r>
      <w:proofErr w:type="spellStart"/>
      <w:r w:rsidR="00915439" w:rsidRPr="00EE30FB">
        <w:t>viš</w:t>
      </w:r>
      <w:r w:rsidR="00915439">
        <w:t>a</w:t>
      </w:r>
      <w:proofErr w:type="spellEnd"/>
      <w:r w:rsidR="00915439" w:rsidRPr="00EE30FB">
        <w:t xml:space="preserve"> </w:t>
      </w:r>
      <w:proofErr w:type="spellStart"/>
      <w:r w:rsidR="00915439" w:rsidRPr="00EE30FB">
        <w:t>stru</w:t>
      </w:r>
      <w:r w:rsidR="00915439">
        <w:t>č</w:t>
      </w:r>
      <w:r w:rsidR="00915439" w:rsidRPr="00EE30FB">
        <w:t>nu</w:t>
      </w:r>
      <w:proofErr w:type="spellEnd"/>
      <w:r w:rsidR="00915439" w:rsidRPr="00EE30FB">
        <w:t xml:space="preserve"> </w:t>
      </w:r>
      <w:proofErr w:type="spellStart"/>
      <w:r w:rsidR="00915439" w:rsidRPr="00EE30FB">
        <w:t>spremu</w:t>
      </w:r>
      <w:proofErr w:type="spellEnd"/>
      <w:r w:rsidR="00915439" w:rsidRPr="00EE30FB">
        <w:t xml:space="preserve"> </w:t>
      </w:r>
      <w:proofErr w:type="spellStart"/>
      <w:r w:rsidR="00915439" w:rsidRPr="00EE30FB">
        <w:t>ili</w:t>
      </w:r>
      <w:proofErr w:type="spellEnd"/>
      <w:r w:rsidR="00915439" w:rsidRPr="00EE30FB">
        <w:t xml:space="preserve"> I. </w:t>
      </w:r>
      <w:proofErr w:type="spellStart"/>
      <w:proofErr w:type="gramStart"/>
      <w:r w:rsidR="00915439" w:rsidRPr="00EE30FB">
        <w:t>ciklus</w:t>
      </w:r>
      <w:proofErr w:type="spellEnd"/>
      <w:proofErr w:type="gramEnd"/>
      <w:r w:rsidR="00915439" w:rsidRPr="00EE30FB">
        <w:t xml:space="preserve"> </w:t>
      </w:r>
      <w:proofErr w:type="spellStart"/>
      <w:r w:rsidR="00915439" w:rsidRPr="00EE30FB">
        <w:t>visokog</w:t>
      </w:r>
      <w:proofErr w:type="spellEnd"/>
      <w:r w:rsidR="00915439" w:rsidRPr="00EE30FB">
        <w:t xml:space="preserve"> </w:t>
      </w:r>
      <w:proofErr w:type="spellStart"/>
      <w:r w:rsidR="00915439" w:rsidRPr="00EE30FB">
        <w:t>obrazovanja</w:t>
      </w:r>
      <w:proofErr w:type="spellEnd"/>
      <w:r w:rsidR="00915439" w:rsidRPr="00EE30FB">
        <w:t xml:space="preserve"> 180 ECTS</w:t>
      </w:r>
      <w:r w:rsidR="00915439">
        <w:rPr>
          <w:lang w:val="hr-HR"/>
        </w:rPr>
        <w:t xml:space="preserve"> sa 7,85 na 8,10, i </w:t>
      </w:r>
      <w:r w:rsidR="00915439" w:rsidRPr="00EE30FB">
        <w:t xml:space="preserve">I. </w:t>
      </w:r>
      <w:proofErr w:type="spellStart"/>
      <w:r w:rsidR="00915439" w:rsidRPr="00EE30FB">
        <w:t>ciklus</w:t>
      </w:r>
      <w:proofErr w:type="spellEnd"/>
      <w:r w:rsidR="00915439" w:rsidRPr="00EE30FB">
        <w:t xml:space="preserve"> </w:t>
      </w:r>
      <w:proofErr w:type="spellStart"/>
      <w:r w:rsidR="00915439" w:rsidRPr="00EE30FB">
        <w:t>visokog</w:t>
      </w:r>
      <w:proofErr w:type="spellEnd"/>
      <w:r w:rsidR="00915439" w:rsidRPr="00EE30FB">
        <w:t xml:space="preserve"> </w:t>
      </w:r>
      <w:proofErr w:type="spellStart"/>
      <w:r w:rsidR="00915439" w:rsidRPr="00EE30FB">
        <w:t>obrazovanja</w:t>
      </w:r>
      <w:proofErr w:type="spellEnd"/>
      <w:r w:rsidR="00915439" w:rsidRPr="00EE30FB">
        <w:t xml:space="preserve"> 240 ECTS </w:t>
      </w:r>
      <w:proofErr w:type="spellStart"/>
      <w:r w:rsidR="00915439" w:rsidRPr="00EE30FB">
        <w:t>bodova</w:t>
      </w:r>
      <w:proofErr w:type="spellEnd"/>
      <w:r w:rsidR="00915439" w:rsidRPr="00EE30FB">
        <w:t xml:space="preserve">, </w:t>
      </w:r>
      <w:proofErr w:type="spellStart"/>
      <w:r w:rsidR="00915439" w:rsidRPr="00EE30FB">
        <w:t>visoku</w:t>
      </w:r>
      <w:proofErr w:type="spellEnd"/>
      <w:r w:rsidR="00915439" w:rsidRPr="00EE30FB">
        <w:t xml:space="preserve"> </w:t>
      </w:r>
      <w:proofErr w:type="spellStart"/>
      <w:r w:rsidR="00915439" w:rsidRPr="00EE30FB">
        <w:t>stru</w:t>
      </w:r>
      <w:r w:rsidR="00915439">
        <w:t>č</w:t>
      </w:r>
      <w:r w:rsidR="00915439" w:rsidRPr="00EE30FB">
        <w:t>nu</w:t>
      </w:r>
      <w:proofErr w:type="spellEnd"/>
      <w:r w:rsidR="00915439" w:rsidRPr="00EE30FB">
        <w:t xml:space="preserve"> </w:t>
      </w:r>
      <w:proofErr w:type="spellStart"/>
      <w:r w:rsidR="00915439" w:rsidRPr="00EE30FB">
        <w:t>spremu</w:t>
      </w:r>
      <w:proofErr w:type="spellEnd"/>
      <w:r w:rsidR="00915439" w:rsidRPr="00EE30FB">
        <w:t xml:space="preserve"> </w:t>
      </w:r>
      <w:proofErr w:type="spellStart"/>
      <w:r w:rsidR="00915439" w:rsidRPr="00EE30FB">
        <w:t>ili</w:t>
      </w:r>
      <w:proofErr w:type="spellEnd"/>
      <w:r w:rsidR="00915439" w:rsidRPr="00EE30FB">
        <w:t xml:space="preserve"> II. </w:t>
      </w:r>
      <w:proofErr w:type="spellStart"/>
      <w:r w:rsidR="00915439" w:rsidRPr="00EE30FB">
        <w:t>ciklus</w:t>
      </w:r>
      <w:proofErr w:type="spellEnd"/>
      <w:r w:rsidR="00915439" w:rsidRPr="00EE30FB">
        <w:t xml:space="preserve"> </w:t>
      </w:r>
      <w:proofErr w:type="spellStart"/>
      <w:r w:rsidR="00915439" w:rsidRPr="00EE30FB">
        <w:t>visokog</w:t>
      </w:r>
      <w:proofErr w:type="spellEnd"/>
      <w:r w:rsidR="00915439" w:rsidRPr="00EE30FB">
        <w:t xml:space="preserve"> </w:t>
      </w:r>
      <w:proofErr w:type="spellStart"/>
      <w:r w:rsidR="00915439" w:rsidRPr="00EE30FB">
        <w:t>obrazovanja</w:t>
      </w:r>
      <w:proofErr w:type="spellEnd"/>
      <w:r w:rsidR="00915439" w:rsidRPr="00EE30FB">
        <w:t xml:space="preserve"> 300 ECTS </w:t>
      </w:r>
      <w:proofErr w:type="spellStart"/>
      <w:r w:rsidR="00915439" w:rsidRPr="00EE30FB">
        <w:t>bodova</w:t>
      </w:r>
      <w:proofErr w:type="spellEnd"/>
      <w:r w:rsidR="00915439" w:rsidRPr="00EE30FB">
        <w:t xml:space="preserve"> </w:t>
      </w:r>
      <w:proofErr w:type="spellStart"/>
      <w:r w:rsidR="00915439">
        <w:t>sa</w:t>
      </w:r>
      <w:proofErr w:type="spellEnd"/>
      <w:r w:rsidR="00915439">
        <w:t xml:space="preserve"> 9</w:t>
      </w:r>
      <w:proofErr w:type="gramStart"/>
      <w:r w:rsidR="00915439">
        <w:t>,30</w:t>
      </w:r>
      <w:proofErr w:type="gramEnd"/>
      <w:r w:rsidR="00915439">
        <w:t xml:space="preserve"> </w:t>
      </w:r>
      <w:proofErr w:type="spellStart"/>
      <w:r w:rsidR="00915439">
        <w:t>na</w:t>
      </w:r>
      <w:proofErr w:type="spellEnd"/>
      <w:r w:rsidR="00915439">
        <w:t xml:space="preserve"> 9,60), </w:t>
      </w:r>
      <w:proofErr w:type="spellStart"/>
      <w:r w:rsidR="00915439">
        <w:t>te</w:t>
      </w:r>
      <w:proofErr w:type="spellEnd"/>
      <w:r w:rsidR="00915439">
        <w:t xml:space="preserve"> </w:t>
      </w:r>
      <w:proofErr w:type="spellStart"/>
      <w:r w:rsidR="00915439">
        <w:t>povećanja</w:t>
      </w:r>
      <w:proofErr w:type="spellEnd"/>
      <w:r w:rsidR="00915439">
        <w:t xml:space="preserve"> </w:t>
      </w:r>
      <w:r w:rsidR="00915439">
        <w:rPr>
          <w:lang w:val="hr-HR"/>
        </w:rPr>
        <w:t xml:space="preserve">osnovice za obračun plaća zaposlenika u proračunskim korisnicima (osim sudaca, tužitelja i stručnih suradnika u pravosuđu) sa 109,00 KM na 115,00 KM (povećanje za 5,50%) </w:t>
      </w:r>
      <w:proofErr w:type="spellStart"/>
      <w:r w:rsidR="00915439">
        <w:t>od</w:t>
      </w:r>
      <w:proofErr w:type="spellEnd"/>
      <w:r w:rsidR="00915439">
        <w:t xml:space="preserve"> 01.10.2020.godine (</w:t>
      </w:r>
      <w:proofErr w:type="spellStart"/>
      <w:r w:rsidR="00915439">
        <w:t>Zaključak</w:t>
      </w:r>
      <w:proofErr w:type="spellEnd"/>
      <w:r w:rsidR="00915439">
        <w:t xml:space="preserve"> </w:t>
      </w:r>
      <w:proofErr w:type="spellStart"/>
      <w:r w:rsidR="00915439">
        <w:t>Vlade</w:t>
      </w:r>
      <w:proofErr w:type="spellEnd"/>
      <w:r w:rsidR="00915439">
        <w:t xml:space="preserve"> Županije Posavske o </w:t>
      </w:r>
      <w:proofErr w:type="spellStart"/>
      <w:r w:rsidR="00915439">
        <w:t>izmjeni</w:t>
      </w:r>
      <w:proofErr w:type="spellEnd"/>
      <w:r w:rsidR="00915439">
        <w:t xml:space="preserve"> </w:t>
      </w:r>
      <w:proofErr w:type="spellStart"/>
      <w:r w:rsidR="00915439">
        <w:t>Zaključka</w:t>
      </w:r>
      <w:proofErr w:type="spellEnd"/>
      <w:r w:rsidR="00915439">
        <w:t xml:space="preserve"> o </w:t>
      </w:r>
      <w:proofErr w:type="spellStart"/>
      <w:r w:rsidR="00915439">
        <w:t>visini</w:t>
      </w:r>
      <w:proofErr w:type="spellEnd"/>
      <w:r w:rsidR="00915439">
        <w:t xml:space="preserve"> </w:t>
      </w:r>
      <w:proofErr w:type="spellStart"/>
      <w:r w:rsidR="00915439">
        <w:t>osnovice</w:t>
      </w:r>
      <w:proofErr w:type="spellEnd"/>
      <w:r w:rsidR="00915439">
        <w:t xml:space="preserve"> </w:t>
      </w:r>
      <w:proofErr w:type="spellStart"/>
      <w:r w:rsidR="00915439">
        <w:t>za</w:t>
      </w:r>
      <w:proofErr w:type="spellEnd"/>
      <w:r w:rsidR="00915439">
        <w:t xml:space="preserve"> </w:t>
      </w:r>
      <w:proofErr w:type="spellStart"/>
      <w:r w:rsidR="00915439">
        <w:t>obračun</w:t>
      </w:r>
      <w:proofErr w:type="spellEnd"/>
      <w:r w:rsidR="00915439">
        <w:t xml:space="preserve"> </w:t>
      </w:r>
      <w:proofErr w:type="spellStart"/>
      <w:r w:rsidR="00915439">
        <w:t>plaća</w:t>
      </w:r>
      <w:proofErr w:type="spellEnd"/>
      <w:r w:rsidR="00915439">
        <w:t xml:space="preserve"> </w:t>
      </w:r>
      <w:proofErr w:type="spellStart"/>
      <w:r w:rsidR="00915439">
        <w:t>uposlenika</w:t>
      </w:r>
      <w:proofErr w:type="spellEnd"/>
      <w:r w:rsidR="00915439">
        <w:t xml:space="preserve"> </w:t>
      </w:r>
      <w:proofErr w:type="spellStart"/>
      <w:r w:rsidR="00915439">
        <w:t>korisnika</w:t>
      </w:r>
      <w:proofErr w:type="spellEnd"/>
      <w:r w:rsidR="00915439">
        <w:t xml:space="preserve"> </w:t>
      </w:r>
      <w:proofErr w:type="spellStart"/>
      <w:r w:rsidR="00915439">
        <w:t>Proračuna</w:t>
      </w:r>
      <w:proofErr w:type="spellEnd"/>
      <w:r w:rsidR="00915439">
        <w:t xml:space="preserve"> Županije Posavske, “</w:t>
      </w:r>
      <w:proofErr w:type="spellStart"/>
      <w:r w:rsidR="00915439">
        <w:t>Narodne</w:t>
      </w:r>
      <w:proofErr w:type="spellEnd"/>
      <w:r w:rsidR="00915439">
        <w:t xml:space="preserve"> </w:t>
      </w:r>
      <w:proofErr w:type="spellStart"/>
      <w:r w:rsidR="00915439">
        <w:t>novine</w:t>
      </w:r>
      <w:proofErr w:type="spellEnd"/>
      <w:r w:rsidR="00915439">
        <w:t xml:space="preserve"> Županije Posavske”, </w:t>
      </w:r>
      <w:proofErr w:type="spellStart"/>
      <w:r w:rsidR="00915439">
        <w:t>broj</w:t>
      </w:r>
      <w:proofErr w:type="spellEnd"/>
      <w:r w:rsidR="00915439">
        <w:t xml:space="preserve">: 13/20). </w:t>
      </w:r>
      <w:proofErr w:type="spellStart"/>
      <w:proofErr w:type="gramStart"/>
      <w:r w:rsidR="00915439">
        <w:t>Uz</w:t>
      </w:r>
      <w:proofErr w:type="spellEnd"/>
      <w:r w:rsidR="00915439">
        <w:t xml:space="preserve"> </w:t>
      </w:r>
      <w:proofErr w:type="spellStart"/>
      <w:r w:rsidR="00915439">
        <w:t>sve</w:t>
      </w:r>
      <w:proofErr w:type="spellEnd"/>
      <w:r w:rsidR="00915439">
        <w:t xml:space="preserve"> </w:t>
      </w:r>
      <w:proofErr w:type="spellStart"/>
      <w:r w:rsidR="00915439">
        <w:t>navedeno</w:t>
      </w:r>
      <w:proofErr w:type="spellEnd"/>
      <w:r w:rsidR="00915439">
        <w:t>, k</w:t>
      </w:r>
      <w:proofErr w:type="spellStart"/>
      <w:r w:rsidR="00915439">
        <w:rPr>
          <w:lang w:val="hr-HR"/>
        </w:rPr>
        <w:t>ao</w:t>
      </w:r>
      <w:proofErr w:type="spellEnd"/>
      <w:r w:rsidR="00915439">
        <w:rPr>
          <w:lang w:val="hr-HR"/>
        </w:rPr>
        <w:t xml:space="preserve"> posljedica organizacije provođenja nastave u osnovnim i srednjim školama, prilagođene uvjetima </w:t>
      </w:r>
      <w:proofErr w:type="spellStart"/>
      <w:r w:rsidR="00915439">
        <w:rPr>
          <w:lang w:val="hr-HR"/>
        </w:rPr>
        <w:t>pandemije</w:t>
      </w:r>
      <w:proofErr w:type="spellEnd"/>
      <w:r w:rsidR="00915439">
        <w:rPr>
          <w:lang w:val="hr-HR"/>
        </w:rPr>
        <w:t xml:space="preserve"> COVID-19 virusa u 2020.</w:t>
      </w:r>
      <w:proofErr w:type="gramEnd"/>
      <w:r w:rsidR="00915439">
        <w:rPr>
          <w:lang w:val="hr-HR"/>
        </w:rPr>
        <w:t xml:space="preserve"> godini, a obzirom na nepredvidivost tijeka </w:t>
      </w:r>
      <w:proofErr w:type="spellStart"/>
      <w:r w:rsidR="00915439">
        <w:rPr>
          <w:lang w:val="hr-HR"/>
        </w:rPr>
        <w:t>pandemije</w:t>
      </w:r>
      <w:proofErr w:type="spellEnd"/>
      <w:r w:rsidR="00915439">
        <w:rPr>
          <w:lang w:val="hr-HR"/>
        </w:rPr>
        <w:t xml:space="preserve"> u 2021. godini, povećane su naknade za produženi rad u školama.</w:t>
      </w:r>
    </w:p>
    <w:p w:rsidR="00CA1958" w:rsidRPr="005824CB" w:rsidRDefault="00CA1958">
      <w:pPr>
        <w:ind w:firstLine="720"/>
        <w:jc w:val="both"/>
        <w:rPr>
          <w:szCs w:val="21"/>
          <w:lang w:val="hr-HR"/>
        </w:rPr>
      </w:pPr>
      <w:r w:rsidRPr="005824CB">
        <w:rPr>
          <w:lang w:val="hr-HR"/>
        </w:rPr>
        <w:t>Naknade troškova zaposlenih (glavna grupa 611200) planiran</w:t>
      </w:r>
      <w:r w:rsidR="00B0096F" w:rsidRPr="005824CB">
        <w:rPr>
          <w:lang w:val="hr-HR"/>
        </w:rPr>
        <w:t>e su</w:t>
      </w:r>
      <w:r w:rsidRPr="005824CB">
        <w:rPr>
          <w:lang w:val="hr-HR"/>
        </w:rPr>
        <w:t xml:space="preserve"> u ukupnom iznosu od  </w:t>
      </w:r>
      <w:r w:rsidR="00B0096F" w:rsidRPr="005824CB">
        <w:rPr>
          <w:lang w:val="hr-HR"/>
        </w:rPr>
        <w:t>3.</w:t>
      </w:r>
      <w:r w:rsidR="00915439">
        <w:rPr>
          <w:lang w:val="hr-HR"/>
        </w:rPr>
        <w:t>871</w:t>
      </w:r>
      <w:r w:rsidR="00B0096F" w:rsidRPr="005824CB">
        <w:rPr>
          <w:lang w:val="hr-HR"/>
        </w:rPr>
        <w:t>.</w:t>
      </w:r>
      <w:r w:rsidR="00915439">
        <w:rPr>
          <w:lang w:val="hr-HR"/>
        </w:rPr>
        <w:t>9</w:t>
      </w:r>
      <w:r w:rsidR="00082F7E">
        <w:rPr>
          <w:lang w:val="hr-HR"/>
        </w:rPr>
        <w:t>7</w:t>
      </w:r>
      <w:r w:rsidR="00931AC1" w:rsidRPr="005824CB">
        <w:rPr>
          <w:lang w:val="hr-HR"/>
        </w:rPr>
        <w:t>0</w:t>
      </w:r>
      <w:r w:rsidRPr="005824CB">
        <w:rPr>
          <w:lang w:val="hr-HR"/>
        </w:rPr>
        <w:t xml:space="preserve"> i </w:t>
      </w:r>
      <w:r w:rsidR="002701A9">
        <w:rPr>
          <w:lang w:val="hr-HR"/>
        </w:rPr>
        <w:t>povećane</w:t>
      </w:r>
      <w:r w:rsidRPr="005824CB">
        <w:rPr>
          <w:lang w:val="hr-HR"/>
        </w:rPr>
        <w:t xml:space="preserve"> su za </w:t>
      </w:r>
      <w:r w:rsidR="002701A9">
        <w:rPr>
          <w:lang w:val="hr-HR"/>
        </w:rPr>
        <w:t>5,51</w:t>
      </w:r>
      <w:r w:rsidRPr="005824CB">
        <w:rPr>
          <w:lang w:val="hr-HR"/>
        </w:rPr>
        <w:t>%</w:t>
      </w:r>
      <w:r w:rsidR="008D3B7B" w:rsidRPr="005824CB">
        <w:rPr>
          <w:lang w:val="hr-HR"/>
        </w:rPr>
        <w:t>,</w:t>
      </w:r>
      <w:r w:rsidRPr="005824CB">
        <w:rPr>
          <w:szCs w:val="21"/>
          <w:lang w:val="hr-HR"/>
        </w:rPr>
        <w:t xml:space="preserve"> odnosno u apsolutnom iznosu </w:t>
      </w:r>
      <w:r w:rsidR="002701A9">
        <w:rPr>
          <w:szCs w:val="21"/>
          <w:lang w:val="hr-HR"/>
        </w:rPr>
        <w:t>povećane</w:t>
      </w:r>
      <w:r w:rsidR="00931AC1" w:rsidRPr="005824CB">
        <w:rPr>
          <w:szCs w:val="21"/>
          <w:lang w:val="hr-HR"/>
        </w:rPr>
        <w:t xml:space="preserve"> </w:t>
      </w:r>
      <w:r w:rsidRPr="005824CB">
        <w:rPr>
          <w:szCs w:val="21"/>
          <w:lang w:val="hr-HR"/>
        </w:rPr>
        <w:t xml:space="preserve">za </w:t>
      </w:r>
      <w:r w:rsidR="002701A9">
        <w:rPr>
          <w:szCs w:val="21"/>
          <w:lang w:val="hr-HR"/>
        </w:rPr>
        <w:t>202.260</w:t>
      </w:r>
      <w:r w:rsidRPr="005824CB">
        <w:rPr>
          <w:szCs w:val="21"/>
          <w:lang w:val="hr-HR"/>
        </w:rPr>
        <w:t xml:space="preserve"> KM. U navedenom iznosu uključene su naknade troškova </w:t>
      </w:r>
      <w:r w:rsidR="00931AC1" w:rsidRPr="005824CB">
        <w:rPr>
          <w:szCs w:val="21"/>
          <w:lang w:val="hr-HR"/>
        </w:rPr>
        <w:t xml:space="preserve">stalno </w:t>
      </w:r>
      <w:r w:rsidRPr="005824CB">
        <w:rPr>
          <w:szCs w:val="21"/>
          <w:lang w:val="hr-HR"/>
        </w:rPr>
        <w:t xml:space="preserve">zaposlenih u iznosu od </w:t>
      </w:r>
      <w:r w:rsidR="002701A9">
        <w:rPr>
          <w:szCs w:val="21"/>
          <w:lang w:val="hr-HR"/>
        </w:rPr>
        <w:t>3.811.910</w:t>
      </w:r>
      <w:r w:rsidRPr="005824CB">
        <w:rPr>
          <w:szCs w:val="21"/>
          <w:lang w:val="hr-HR"/>
        </w:rPr>
        <w:t xml:space="preserve"> KM, te naknade troškova volontera u iznosu od </w:t>
      </w:r>
      <w:r w:rsidR="002701A9">
        <w:rPr>
          <w:szCs w:val="21"/>
          <w:lang w:val="hr-HR"/>
        </w:rPr>
        <w:t>60.060</w:t>
      </w:r>
      <w:r w:rsidRPr="005824CB">
        <w:rPr>
          <w:szCs w:val="21"/>
          <w:lang w:val="hr-HR"/>
        </w:rPr>
        <w:t xml:space="preserve"> KM. </w:t>
      </w:r>
      <w:r w:rsidR="00082F7E">
        <w:rPr>
          <w:szCs w:val="21"/>
          <w:lang w:val="hr-HR"/>
        </w:rPr>
        <w:t>U</w:t>
      </w:r>
      <w:r w:rsidR="008D3B7B" w:rsidRPr="005824CB">
        <w:rPr>
          <w:szCs w:val="21"/>
          <w:lang w:val="hr-HR"/>
        </w:rPr>
        <w:t xml:space="preserve"> 20</w:t>
      </w:r>
      <w:r w:rsidR="00082F7E">
        <w:rPr>
          <w:szCs w:val="21"/>
          <w:lang w:val="hr-HR"/>
        </w:rPr>
        <w:t>2</w:t>
      </w:r>
      <w:r w:rsidR="002701A9">
        <w:rPr>
          <w:szCs w:val="21"/>
          <w:lang w:val="hr-HR"/>
        </w:rPr>
        <w:t>1</w:t>
      </w:r>
      <w:r w:rsidR="008D3B7B" w:rsidRPr="005824CB">
        <w:rPr>
          <w:szCs w:val="21"/>
          <w:lang w:val="hr-HR"/>
        </w:rPr>
        <w:t xml:space="preserve">. godini planira </w:t>
      </w:r>
      <w:r w:rsidR="00082F7E">
        <w:rPr>
          <w:szCs w:val="21"/>
          <w:lang w:val="hr-HR"/>
        </w:rPr>
        <w:t xml:space="preserve">se </w:t>
      </w:r>
      <w:r w:rsidR="008D3B7B" w:rsidRPr="005824CB">
        <w:rPr>
          <w:szCs w:val="21"/>
          <w:lang w:val="hr-HR"/>
        </w:rPr>
        <w:t xml:space="preserve">angažiranje </w:t>
      </w:r>
      <w:r w:rsidR="002701A9">
        <w:rPr>
          <w:szCs w:val="21"/>
          <w:lang w:val="hr-HR"/>
        </w:rPr>
        <w:t>20</w:t>
      </w:r>
      <w:r w:rsidR="008D3B7B" w:rsidRPr="005824CB">
        <w:rPr>
          <w:szCs w:val="21"/>
          <w:lang w:val="hr-HR"/>
        </w:rPr>
        <w:t xml:space="preserve"> novih volontera</w:t>
      </w:r>
      <w:r w:rsidR="00082F7E">
        <w:rPr>
          <w:szCs w:val="21"/>
          <w:lang w:val="hr-HR"/>
        </w:rPr>
        <w:t xml:space="preserve"> od 01.0</w:t>
      </w:r>
      <w:r w:rsidR="002701A9">
        <w:rPr>
          <w:szCs w:val="21"/>
          <w:lang w:val="hr-HR"/>
        </w:rPr>
        <w:t>8</w:t>
      </w:r>
      <w:r w:rsidR="00082F7E">
        <w:rPr>
          <w:szCs w:val="21"/>
          <w:lang w:val="hr-HR"/>
        </w:rPr>
        <w:t>.2020. godine</w:t>
      </w:r>
      <w:r w:rsidRPr="005824CB">
        <w:rPr>
          <w:szCs w:val="21"/>
          <w:lang w:val="hr-HR"/>
        </w:rPr>
        <w:t>.</w:t>
      </w:r>
      <w:r w:rsidR="008D3B7B" w:rsidRPr="005824CB">
        <w:rPr>
          <w:szCs w:val="21"/>
          <w:lang w:val="hr-HR"/>
        </w:rPr>
        <w:t xml:space="preserve"> Isti se po završetku javnog poziva planiraju rasporediti po proračunskim organizacijama, dok će im se naknade za obavljene poslove isplaćivati s razdjela Vlade Županije Posavske.</w:t>
      </w:r>
    </w:p>
    <w:p w:rsidR="00CA1958" w:rsidRPr="005824CB" w:rsidRDefault="00CA1958">
      <w:pPr>
        <w:ind w:firstLine="720"/>
        <w:jc w:val="both"/>
        <w:rPr>
          <w:lang w:val="hr-HR"/>
        </w:rPr>
      </w:pPr>
      <w:r w:rsidRPr="005824CB">
        <w:rPr>
          <w:lang w:val="hr-HR"/>
        </w:rPr>
        <w:t xml:space="preserve">Doprinosi poslodavca i ostali doprinosi (glavna grupa 612100), analogno kretanju bruto plaća i naknada plaća, se planiraju u iznosu od </w:t>
      </w:r>
      <w:r w:rsidR="002701A9">
        <w:rPr>
          <w:lang w:val="hr-HR"/>
        </w:rPr>
        <w:t>2.288.170</w:t>
      </w:r>
      <w:r w:rsidRPr="005824CB">
        <w:rPr>
          <w:lang w:val="hr-HR"/>
        </w:rPr>
        <w:t xml:space="preserve"> KM</w:t>
      </w:r>
      <w:r w:rsidR="00082F7E">
        <w:rPr>
          <w:lang w:val="hr-HR"/>
        </w:rPr>
        <w:t>,</w:t>
      </w:r>
      <w:r w:rsidRPr="005824CB">
        <w:rPr>
          <w:lang w:val="hr-HR"/>
        </w:rPr>
        <w:t xml:space="preserve"> što je za </w:t>
      </w:r>
      <w:r w:rsidR="00082F7E">
        <w:rPr>
          <w:lang w:val="hr-HR"/>
        </w:rPr>
        <w:t>5,</w:t>
      </w:r>
      <w:r w:rsidR="002701A9">
        <w:rPr>
          <w:lang w:val="hr-HR"/>
        </w:rPr>
        <w:t>78</w:t>
      </w:r>
      <w:r w:rsidRPr="005824CB">
        <w:rPr>
          <w:lang w:val="hr-HR"/>
        </w:rPr>
        <w:t>% više nego što je planirano u 20</w:t>
      </w:r>
      <w:r w:rsidR="002701A9">
        <w:rPr>
          <w:lang w:val="hr-HR"/>
        </w:rPr>
        <w:t>20</w:t>
      </w:r>
      <w:r w:rsidRPr="005824CB">
        <w:rPr>
          <w:lang w:val="hr-HR"/>
        </w:rPr>
        <w:t>. godini</w:t>
      </w:r>
      <w:r w:rsidR="00082F7E">
        <w:rPr>
          <w:lang w:val="hr-HR"/>
        </w:rPr>
        <w:t>,</w:t>
      </w:r>
      <w:r w:rsidRPr="005824CB">
        <w:rPr>
          <w:lang w:val="hr-HR"/>
        </w:rPr>
        <w:t xml:space="preserve"> ili u apsolutnom iznosu </w:t>
      </w:r>
      <w:r w:rsidR="002701A9">
        <w:rPr>
          <w:lang w:val="hr-HR"/>
        </w:rPr>
        <w:t>124.960</w:t>
      </w:r>
      <w:r w:rsidR="00A12E5A" w:rsidRPr="005824CB">
        <w:rPr>
          <w:lang w:val="hr-HR"/>
        </w:rPr>
        <w:t xml:space="preserve"> </w:t>
      </w:r>
      <w:r w:rsidRPr="005824CB">
        <w:rPr>
          <w:lang w:val="hr-HR"/>
        </w:rPr>
        <w:t>KM više.</w:t>
      </w:r>
      <w:r w:rsidR="00A12E5A" w:rsidRPr="005824CB">
        <w:rPr>
          <w:lang w:val="hr-HR"/>
        </w:rPr>
        <w:t xml:space="preserve"> </w:t>
      </w:r>
    </w:p>
    <w:p w:rsidR="00CA1958" w:rsidRPr="005824CB" w:rsidRDefault="00CA1958">
      <w:pPr>
        <w:jc w:val="both"/>
        <w:rPr>
          <w:color w:val="FF0000"/>
          <w:lang w:val="hr-HR"/>
        </w:rPr>
      </w:pPr>
    </w:p>
    <w:p w:rsidR="00CA1958" w:rsidRPr="005824CB" w:rsidRDefault="002961C3">
      <w:pPr>
        <w:pStyle w:val="Naslov7"/>
        <w:spacing w:line="240" w:lineRule="auto"/>
        <w:ind w:firstLine="720"/>
      </w:pPr>
      <w:r w:rsidRPr="005824CB">
        <w:t>5.1.3.</w:t>
      </w:r>
      <w:r w:rsidRPr="005824CB">
        <w:tab/>
      </w:r>
      <w:r w:rsidR="00CA1958" w:rsidRPr="005824CB">
        <w:t>Izdaci za materijal, sitan inventar i usluge</w:t>
      </w:r>
    </w:p>
    <w:p w:rsidR="001D2928" w:rsidRPr="005824CB" w:rsidRDefault="00CA1958">
      <w:pPr>
        <w:pStyle w:val="Tijeloteksta"/>
        <w:ind w:firstLine="720"/>
      </w:pPr>
      <w:r w:rsidRPr="005824CB">
        <w:t xml:space="preserve">Izdaci za materijal, sitan inventar i usluge (potkategorija 613000) planirani su u iznosu od </w:t>
      </w:r>
      <w:r w:rsidR="002701A9">
        <w:t>4.176.360</w:t>
      </w:r>
      <w:r w:rsidRPr="005824CB">
        <w:t xml:space="preserve"> KM, što je za </w:t>
      </w:r>
      <w:r w:rsidR="00082F7E">
        <w:t>4,</w:t>
      </w:r>
      <w:r w:rsidR="002701A9">
        <w:t>24</w:t>
      </w:r>
      <w:r w:rsidRPr="005824CB">
        <w:t xml:space="preserve">% </w:t>
      </w:r>
      <w:r w:rsidR="00082F7E">
        <w:t>više</w:t>
      </w:r>
      <w:r w:rsidRPr="005824CB">
        <w:t xml:space="preserve"> u odnosu na materijalne troškove predviđene planom Proračuna za 20</w:t>
      </w:r>
      <w:r w:rsidR="002701A9">
        <w:t>20</w:t>
      </w:r>
      <w:r w:rsidRPr="005824CB">
        <w:t>. godinu</w:t>
      </w:r>
      <w:r w:rsidR="00082F7E">
        <w:t>,</w:t>
      </w:r>
      <w:r w:rsidRPr="005824CB">
        <w:t xml:space="preserve"> ili u apsolutnom iznosu </w:t>
      </w:r>
      <w:r w:rsidR="00082F7E">
        <w:t>više</w:t>
      </w:r>
      <w:r w:rsidRPr="005824CB">
        <w:t xml:space="preserve"> za </w:t>
      </w:r>
      <w:r w:rsidR="002701A9">
        <w:t>169.710</w:t>
      </w:r>
      <w:r w:rsidRPr="005824CB">
        <w:t xml:space="preserve"> KM. </w:t>
      </w:r>
      <w:r w:rsidR="002701A9">
        <w:t xml:space="preserve">Tijekom 2020. godine, ponukani razvojem </w:t>
      </w:r>
      <w:proofErr w:type="spellStart"/>
      <w:r w:rsidR="002701A9">
        <w:t>pandemije</w:t>
      </w:r>
      <w:proofErr w:type="spellEnd"/>
      <w:r w:rsidR="002701A9">
        <w:t xml:space="preserve"> COVID-19 virusa, izrađene su dvije Izmjene i dopune Proračuna </w:t>
      </w:r>
      <w:r w:rsidR="002701A9">
        <w:lastRenderedPageBreak/>
        <w:t xml:space="preserve">Županije Posavske za 2020. godinu kojima su, za potrebe oslobađanja sredstava prijeko potrebnih za sanaciju šteta prouzročenih </w:t>
      </w:r>
      <w:proofErr w:type="spellStart"/>
      <w:r w:rsidR="002701A9">
        <w:t>pandemijom</w:t>
      </w:r>
      <w:proofErr w:type="spellEnd"/>
      <w:r w:rsidR="002701A9">
        <w:t xml:space="preserve">, najveća smanjenja troškova učinjena na izdacima za materijal, sitan inventar i usluge. Pretpostavljajući da će dio 2021. godine biti jednako pogođen </w:t>
      </w:r>
      <w:proofErr w:type="spellStart"/>
      <w:r w:rsidR="002701A9">
        <w:t>pandemijom</w:t>
      </w:r>
      <w:proofErr w:type="spellEnd"/>
      <w:r w:rsidR="002701A9">
        <w:t>, te da će se u ostatku godine situacija donekle normalizirati, u</w:t>
      </w:r>
      <w:r w:rsidRPr="005824CB">
        <w:t xml:space="preserve"> okviru pojedinačnih glavnih grupa </w:t>
      </w:r>
      <w:r w:rsidR="002701A9">
        <w:t>izdataka za materijal, sitan inventar i usluge</w:t>
      </w:r>
      <w:r w:rsidRPr="005824CB">
        <w:t xml:space="preserve"> izvršena je korekcija u skladu sa stvarnim potrebama. U odnosu na 20</w:t>
      </w:r>
      <w:r w:rsidR="002701A9">
        <w:t>20</w:t>
      </w:r>
      <w:r w:rsidRPr="005824CB">
        <w:t xml:space="preserve">. godinu planira se </w:t>
      </w:r>
      <w:r w:rsidR="00082F7E">
        <w:t>povećanje gotovo na svim pozicijama osim pozicija</w:t>
      </w:r>
      <w:r w:rsidR="001D2928" w:rsidRPr="005824CB">
        <w:t xml:space="preserve">: </w:t>
      </w:r>
      <w:r w:rsidR="00082F7E">
        <w:t xml:space="preserve">izdaci za komunikaciju i komunalne usluge, </w:t>
      </w:r>
      <w:r w:rsidR="00D44BA0">
        <w:t>nabavka materijala i sitnog inventara, izdaci za tekuće održavanje, te troškovi izvršenja mjere pritvora. U razdjelu Vlade Županije Posavske iz pozicije 613900 – Ugovorene i druge posebne usluge izdvojena je pozicija 613900 – Ugovorene i druge posebne usluge–sufinanciranje prijema vježbenika, radi lakšeg planiranja i praćenja utroška za navedene namjene.</w:t>
      </w:r>
    </w:p>
    <w:p w:rsidR="00CA1958" w:rsidRPr="005824CB" w:rsidRDefault="002316A0">
      <w:pPr>
        <w:pStyle w:val="Tijeloteksta"/>
        <w:ind w:firstLine="720"/>
      </w:pPr>
      <w:r w:rsidRPr="005824CB">
        <w:t xml:space="preserve"> </w:t>
      </w:r>
      <w:r w:rsidR="00B049AD" w:rsidRPr="005824CB">
        <w:t xml:space="preserve"> </w:t>
      </w:r>
      <w:r w:rsidR="00CA1958" w:rsidRPr="005824CB">
        <w:t xml:space="preserve">  </w:t>
      </w:r>
    </w:p>
    <w:p w:rsidR="00CA1958" w:rsidRPr="005824CB" w:rsidRDefault="002961C3">
      <w:pPr>
        <w:pStyle w:val="Naslov7"/>
        <w:spacing w:line="240" w:lineRule="auto"/>
        <w:ind w:firstLine="720"/>
      </w:pPr>
      <w:r w:rsidRPr="005824CB">
        <w:t>5.1.4.</w:t>
      </w:r>
      <w:r w:rsidRPr="005824CB">
        <w:tab/>
      </w:r>
      <w:r w:rsidR="00CA1958" w:rsidRPr="005824CB">
        <w:t xml:space="preserve">Tekući </w:t>
      </w:r>
      <w:proofErr w:type="spellStart"/>
      <w:r w:rsidR="00CA1958" w:rsidRPr="005824CB">
        <w:t>grantovi</w:t>
      </w:r>
      <w:proofErr w:type="spellEnd"/>
      <w:r w:rsidR="00CA1958" w:rsidRPr="005824CB">
        <w:t xml:space="preserve"> i drugi tekući rashodi</w:t>
      </w:r>
    </w:p>
    <w:p w:rsidR="00CA1958" w:rsidRDefault="00CA1958">
      <w:pPr>
        <w:pStyle w:val="Tijeloteksta"/>
        <w:ind w:firstLine="720"/>
      </w:pPr>
      <w:r w:rsidRPr="005824CB">
        <w:t xml:space="preserve">Tekući </w:t>
      </w:r>
      <w:proofErr w:type="spellStart"/>
      <w:r w:rsidRPr="005824CB">
        <w:t>grantovi</w:t>
      </w:r>
      <w:proofErr w:type="spellEnd"/>
      <w:r w:rsidRPr="005824CB">
        <w:t xml:space="preserve"> i drugi tekući rashodi (potkategorija 614000) planirani su u iznosu od </w:t>
      </w:r>
      <w:r w:rsidR="00D44BA0">
        <w:t>11.438.000</w:t>
      </w:r>
      <w:r w:rsidRPr="005824CB">
        <w:t xml:space="preserve"> KM</w:t>
      </w:r>
      <w:r w:rsidR="004472E2">
        <w:t>,</w:t>
      </w:r>
      <w:r w:rsidRPr="005824CB">
        <w:t xml:space="preserve"> i za </w:t>
      </w:r>
      <w:r w:rsidR="00D44BA0">
        <w:t>3,52</w:t>
      </w:r>
      <w:r w:rsidRPr="005824CB">
        <w:t xml:space="preserve">% su </w:t>
      </w:r>
      <w:r w:rsidR="00D05359" w:rsidRPr="005824CB">
        <w:t>manji</w:t>
      </w:r>
      <w:r w:rsidRPr="005824CB">
        <w:t xml:space="preserve"> u odnosu na plan Proračuna za 20</w:t>
      </w:r>
      <w:r w:rsidR="00D44BA0">
        <w:t>20</w:t>
      </w:r>
      <w:r w:rsidRPr="005824CB">
        <w:t xml:space="preserve">. godinu, odnosno u apsolutnom iznosu </w:t>
      </w:r>
      <w:r w:rsidR="00D05359" w:rsidRPr="005824CB">
        <w:t>manji</w:t>
      </w:r>
      <w:r w:rsidRPr="005824CB">
        <w:t xml:space="preserve"> za </w:t>
      </w:r>
      <w:r w:rsidR="00D44BA0">
        <w:t>416</w:t>
      </w:r>
      <w:r w:rsidR="004472E2">
        <w:t>.</w:t>
      </w:r>
      <w:r w:rsidR="00D44BA0">
        <w:t>8</w:t>
      </w:r>
      <w:r w:rsidR="004472E2">
        <w:t>00</w:t>
      </w:r>
      <w:r w:rsidRPr="005824CB">
        <w:t xml:space="preserve"> KM.</w:t>
      </w:r>
    </w:p>
    <w:p w:rsidR="00D44BA0" w:rsidRDefault="00D44BA0" w:rsidP="00A305F9">
      <w:pPr>
        <w:pStyle w:val="Tijeloteksta"/>
        <w:ind w:firstLine="714"/>
      </w:pPr>
      <w:r>
        <w:t>Dosadašnji Grant za Kuću nade Odžak, Grant za Udrug</w:t>
      </w:r>
      <w:r w:rsidR="00210E4D">
        <w:t>u</w:t>
      </w:r>
      <w:r>
        <w:t xml:space="preserve"> osoba s posebnim potrebama Put u Život Orašje i Grant za udrugu roditelja djece s posebnim potrebama </w:t>
      </w:r>
      <w:proofErr w:type="spellStart"/>
      <w:r>
        <w:t>Angelus</w:t>
      </w:r>
      <w:proofErr w:type="spellEnd"/>
      <w:r>
        <w:t xml:space="preserve"> Domaljevac (</w:t>
      </w:r>
      <w:proofErr w:type="spellStart"/>
      <w:r w:rsidR="00210E4D">
        <w:t>pozivije</w:t>
      </w:r>
      <w:proofErr w:type="spellEnd"/>
      <w:r w:rsidR="00210E4D">
        <w:t xml:space="preserve"> 614300) u razdjelu Vlade Županije Posavske ukidaju se u 2021. godini, odnosno planiraju se u razdjelu 17 – Ministarstvo zdravstva i socijalne politike Županije Posavske na novoj poziciji 614300 – „Grant za udruge roditelja djece s posebnim potrebama“ koji iznosi 95.000 KM za 2021. godinu.</w:t>
      </w:r>
    </w:p>
    <w:p w:rsidR="00A305F9" w:rsidRDefault="00A305F9" w:rsidP="00A305F9">
      <w:pPr>
        <w:pStyle w:val="Tijeloteksta"/>
        <w:ind w:firstLine="714"/>
      </w:pPr>
      <w:r w:rsidRPr="005824CB">
        <w:t xml:space="preserve">U okviru skupine tekućih </w:t>
      </w:r>
      <w:proofErr w:type="spellStart"/>
      <w:r w:rsidRPr="005824CB">
        <w:t>grantova</w:t>
      </w:r>
      <w:proofErr w:type="spellEnd"/>
      <w:r w:rsidRPr="005824CB">
        <w:t>, u odnosu na 20</w:t>
      </w:r>
      <w:r w:rsidR="00D44BA0">
        <w:t>20</w:t>
      </w:r>
      <w:r w:rsidRPr="005824CB">
        <w:t>. godinu, povećavaju se</w:t>
      </w:r>
      <w:r w:rsidR="000630AE">
        <w:t xml:space="preserve"> uslijed proširenja opsega davanja i/ili povećanih potreba slijedeće pozicije</w:t>
      </w:r>
      <w:r w:rsidRPr="005824CB">
        <w:t>:</w:t>
      </w:r>
    </w:p>
    <w:p w:rsidR="00D44BA0" w:rsidRDefault="00D44BA0" w:rsidP="00D63FFB">
      <w:pPr>
        <w:pStyle w:val="Tijeloteksta"/>
        <w:numPr>
          <w:ilvl w:val="0"/>
          <w:numId w:val="3"/>
        </w:numPr>
        <w:ind w:left="714" w:hanging="357"/>
      </w:pPr>
      <w:r>
        <w:t>Grant za Sveučilište u Mostaru (614100) pri Vladi Županije Posavske za 50.000 KM ili za 20,00%,</w:t>
      </w:r>
    </w:p>
    <w:p w:rsidR="000630AE" w:rsidRDefault="000630AE" w:rsidP="00D63FFB">
      <w:pPr>
        <w:pStyle w:val="Tijeloteksta"/>
        <w:numPr>
          <w:ilvl w:val="0"/>
          <w:numId w:val="3"/>
        </w:numPr>
        <w:ind w:left="714" w:hanging="357"/>
      </w:pPr>
      <w:r>
        <w:t>Grant za razvoj turizma (614100) pri Ministarstvu gospodarstva, rada i prostornog uređenja</w:t>
      </w:r>
      <w:r w:rsidR="00210E4D">
        <w:t xml:space="preserve"> Županije Posavske</w:t>
      </w:r>
      <w:r>
        <w:t xml:space="preserve"> iznosi </w:t>
      </w:r>
      <w:r w:rsidR="00210E4D">
        <w:t>20</w:t>
      </w:r>
      <w:r>
        <w:t>.000</w:t>
      </w:r>
      <w:r w:rsidR="00210E4D">
        <w:t xml:space="preserve"> </w:t>
      </w:r>
      <w:r>
        <w:t>KM (u 20</w:t>
      </w:r>
      <w:r w:rsidR="00210E4D">
        <w:t>20</w:t>
      </w:r>
      <w:r>
        <w:t>. godini iznosio je 0 KM),</w:t>
      </w:r>
    </w:p>
    <w:p w:rsidR="00A305F9" w:rsidRDefault="00A305F9" w:rsidP="00D63FFB">
      <w:pPr>
        <w:pStyle w:val="Tijeloteksta"/>
        <w:numPr>
          <w:ilvl w:val="0"/>
          <w:numId w:val="3"/>
        </w:numPr>
        <w:ind w:left="714" w:hanging="357"/>
      </w:pPr>
      <w:r>
        <w:t xml:space="preserve">Grant za zaštitu okoliša (614100) pri Ministarstvu prometa, veza i zaštite okoliša Županije Posavske za </w:t>
      </w:r>
      <w:r w:rsidR="00210E4D">
        <w:t>100</w:t>
      </w:r>
      <w:r>
        <w:t xml:space="preserve">.000,00 KM ili za </w:t>
      </w:r>
      <w:r w:rsidR="00210E4D">
        <w:t>33,33</w:t>
      </w:r>
      <w:r>
        <w:t>%,</w:t>
      </w:r>
    </w:p>
    <w:p w:rsidR="00210E4D" w:rsidRDefault="00210E4D" w:rsidP="00D63FFB">
      <w:pPr>
        <w:pStyle w:val="Tijeloteksta"/>
        <w:numPr>
          <w:ilvl w:val="0"/>
          <w:numId w:val="3"/>
        </w:numPr>
        <w:ind w:left="714" w:hanging="357"/>
      </w:pPr>
      <w:r>
        <w:t>Transfer za sufinanciranje prijevoza učenika (614100) pri Ministarstvu prosvjete, znanosti, kulture i sporta Županije Posavske za 66.200 KM ili za 28,93%,</w:t>
      </w:r>
    </w:p>
    <w:p w:rsidR="00210E4D" w:rsidRDefault="00210E4D" w:rsidP="00D63FFB">
      <w:pPr>
        <w:pStyle w:val="Tijeloteksta"/>
        <w:numPr>
          <w:ilvl w:val="0"/>
          <w:numId w:val="3"/>
        </w:numPr>
        <w:ind w:left="714" w:hanging="357"/>
      </w:pPr>
      <w:r>
        <w:t xml:space="preserve">Grant za pomoć pri stambenom zbrinjavanju mladih obitelji i socijalnih kategorija (614200) pri Uredu za obnovu, stambeno </w:t>
      </w:r>
      <w:proofErr w:type="spellStart"/>
      <w:r>
        <w:t>zbronjavanje</w:t>
      </w:r>
      <w:proofErr w:type="spellEnd"/>
      <w:r>
        <w:t xml:space="preserve"> i raseljene osobe Vlade Županije Posavske za 30.000 KM ili za 60,00%,</w:t>
      </w:r>
    </w:p>
    <w:p w:rsidR="00210E4D" w:rsidRDefault="00210E4D" w:rsidP="00D63FFB">
      <w:pPr>
        <w:pStyle w:val="Tijeloteksta"/>
        <w:numPr>
          <w:ilvl w:val="0"/>
          <w:numId w:val="3"/>
        </w:numPr>
        <w:ind w:left="714" w:hanging="357"/>
      </w:pPr>
      <w:r>
        <w:t>Grant za sufinanciranje osnovnog i srednjeg obrazovanja djece s posebnim potrebama (614200) pri Ministarstvu prosvjete, znanosti, kulture i sporta Županije Posavske za 5.000 KM ili za 33,33%,</w:t>
      </w:r>
    </w:p>
    <w:p w:rsidR="00210E4D" w:rsidRDefault="00210E4D" w:rsidP="00D63FFB">
      <w:pPr>
        <w:pStyle w:val="Tijeloteksta"/>
        <w:numPr>
          <w:ilvl w:val="0"/>
          <w:numId w:val="3"/>
        </w:numPr>
        <w:ind w:left="714" w:hanging="357"/>
      </w:pPr>
      <w:proofErr w:type="spellStart"/>
      <w:r>
        <w:t>Grantovi</w:t>
      </w:r>
      <w:proofErr w:type="spellEnd"/>
      <w:r>
        <w:t xml:space="preserve"> za branitelje i stradalnike Domovinskog rata (614200) pri Ministarstvu branitelja Županije Posavske za </w:t>
      </w:r>
      <w:r w:rsidR="00D52071">
        <w:t>250.000 KM ili za 22,73%,</w:t>
      </w:r>
    </w:p>
    <w:p w:rsidR="00D52071" w:rsidRDefault="00D52071" w:rsidP="00D63FFB">
      <w:pPr>
        <w:pStyle w:val="Tijeloteksta"/>
        <w:numPr>
          <w:ilvl w:val="0"/>
          <w:numId w:val="3"/>
        </w:numPr>
        <w:ind w:left="714" w:hanging="357"/>
      </w:pPr>
      <w:proofErr w:type="spellStart"/>
      <w:r>
        <w:t>Grantovi</w:t>
      </w:r>
      <w:proofErr w:type="spellEnd"/>
      <w:r>
        <w:t xml:space="preserve"> političkim strankama (614300) pri Vladi Županije Posavske za 10.000 KM ili za 7,69%,</w:t>
      </w:r>
    </w:p>
    <w:p w:rsidR="00D52071" w:rsidRDefault="00D52071" w:rsidP="00D63FFB">
      <w:pPr>
        <w:pStyle w:val="Tijeloteksta"/>
        <w:numPr>
          <w:ilvl w:val="0"/>
          <w:numId w:val="3"/>
        </w:numPr>
        <w:ind w:left="714" w:hanging="357"/>
      </w:pPr>
      <w:r>
        <w:t>Grant za Gospodarsku komoru ŽP (614300) pri Vladi Županije Posavske za 5.000 Km ili za 16,67%,</w:t>
      </w:r>
    </w:p>
    <w:p w:rsidR="00D52071" w:rsidRDefault="00D52071" w:rsidP="00D63FFB">
      <w:pPr>
        <w:pStyle w:val="Tijeloteksta"/>
        <w:numPr>
          <w:ilvl w:val="0"/>
          <w:numId w:val="3"/>
        </w:numPr>
        <w:ind w:left="714" w:hanging="357"/>
      </w:pPr>
      <w:proofErr w:type="spellStart"/>
      <w:r>
        <w:t>Grantovi</w:t>
      </w:r>
      <w:proofErr w:type="spellEnd"/>
      <w:r>
        <w:t xml:space="preserve"> za financiranje vjerskih zajednica (614300) pri Ministarstvu prosvjete, znanosti, kulture i sporta za 10.000 KM ili za 4,55%,</w:t>
      </w:r>
    </w:p>
    <w:p w:rsidR="00955443" w:rsidRDefault="00955443" w:rsidP="00D63FFB">
      <w:pPr>
        <w:pStyle w:val="Tijeloteksta"/>
        <w:numPr>
          <w:ilvl w:val="0"/>
          <w:numId w:val="3"/>
        </w:numPr>
        <w:ind w:left="714" w:hanging="357"/>
      </w:pPr>
      <w:r>
        <w:t>Grant za sufinanciranje profesionalne vatrogasne pristojbe (614300) pri Županijsko</w:t>
      </w:r>
      <w:r w:rsidR="00D52071">
        <w:t>j upravi civilne zaštite – u 2020</w:t>
      </w:r>
      <w:r>
        <w:t>. godini nije planiran, u 202</w:t>
      </w:r>
      <w:r w:rsidR="00D52071">
        <w:t>1</w:t>
      </w:r>
      <w:r>
        <w:t xml:space="preserve">. godini se planira u iznosu od </w:t>
      </w:r>
      <w:r w:rsidR="00D52071">
        <w:t>80</w:t>
      </w:r>
      <w:r>
        <w:t>.000,00 KM,</w:t>
      </w:r>
    </w:p>
    <w:p w:rsidR="00D52071" w:rsidRDefault="00D52071" w:rsidP="00D63FFB">
      <w:pPr>
        <w:pStyle w:val="Tijeloteksta"/>
        <w:numPr>
          <w:ilvl w:val="0"/>
          <w:numId w:val="3"/>
        </w:numPr>
        <w:ind w:left="714" w:hanging="357"/>
      </w:pPr>
      <w:proofErr w:type="spellStart"/>
      <w:r>
        <w:t>Grantovi</w:t>
      </w:r>
      <w:proofErr w:type="spellEnd"/>
      <w:r>
        <w:t xml:space="preserve"> za sport (614300) pri Ministarstvu prosvjete, znanosti, kulture i sporta za 60.000 KM ili za 25,00%, i</w:t>
      </w:r>
    </w:p>
    <w:p w:rsidR="00955443" w:rsidRDefault="00D52071" w:rsidP="00D63FFB">
      <w:pPr>
        <w:pStyle w:val="Tijeloteksta"/>
        <w:numPr>
          <w:ilvl w:val="0"/>
          <w:numId w:val="3"/>
        </w:numPr>
        <w:ind w:left="714" w:hanging="357"/>
      </w:pPr>
      <w:proofErr w:type="spellStart"/>
      <w:r>
        <w:lastRenderedPageBreak/>
        <w:t>Grantovi</w:t>
      </w:r>
      <w:proofErr w:type="spellEnd"/>
      <w:r>
        <w:t xml:space="preserve"> za vodoprivredu (614500) pri Ministarstvu poljoprivrede, vodoprivrede i </w:t>
      </w:r>
      <w:proofErr w:type="spellStart"/>
      <w:r>
        <w:t>šumartsva</w:t>
      </w:r>
      <w:proofErr w:type="spellEnd"/>
      <w:r>
        <w:t xml:space="preserve"> Županije Posavske za 50.000 KM ili za 33,33%</w:t>
      </w:r>
      <w:r w:rsidR="00955443">
        <w:t>.</w:t>
      </w:r>
    </w:p>
    <w:p w:rsidR="00D52071" w:rsidRDefault="00D52071" w:rsidP="000630AE">
      <w:pPr>
        <w:pStyle w:val="Tijeloteksta"/>
        <w:ind w:firstLine="714"/>
      </w:pPr>
    </w:p>
    <w:p w:rsidR="004E4FEA" w:rsidRPr="005824CB" w:rsidRDefault="004E4FEA" w:rsidP="000630AE">
      <w:pPr>
        <w:pStyle w:val="Tijeloteksta"/>
        <w:ind w:firstLine="714"/>
      </w:pPr>
      <w:r w:rsidRPr="005824CB">
        <w:t xml:space="preserve">Ostale </w:t>
      </w:r>
      <w:proofErr w:type="spellStart"/>
      <w:r w:rsidRPr="005824CB">
        <w:t>grantovske</w:t>
      </w:r>
      <w:proofErr w:type="spellEnd"/>
      <w:r w:rsidRPr="005824CB">
        <w:t xml:space="preserve"> pozicije </w:t>
      </w:r>
      <w:r w:rsidR="00955443">
        <w:t xml:space="preserve">ili </w:t>
      </w:r>
      <w:r w:rsidRPr="005824CB">
        <w:t>ostaju na razini planiranog u 20</w:t>
      </w:r>
      <w:r w:rsidR="00D52071">
        <w:t>20</w:t>
      </w:r>
      <w:r w:rsidRPr="005824CB">
        <w:t>. godini</w:t>
      </w:r>
      <w:r w:rsidR="00955443">
        <w:t xml:space="preserve"> ili se smanjuju</w:t>
      </w:r>
      <w:r w:rsidR="000630AE">
        <w:t xml:space="preserve"> odnosno ukidaju.</w:t>
      </w:r>
    </w:p>
    <w:p w:rsidR="004E4FEA" w:rsidRPr="005824CB" w:rsidRDefault="004E4FEA" w:rsidP="004E4FEA">
      <w:pPr>
        <w:pStyle w:val="Tijeloteksta"/>
        <w:ind w:left="360" w:firstLine="360"/>
      </w:pPr>
    </w:p>
    <w:p w:rsidR="002961C3" w:rsidRPr="005824CB" w:rsidRDefault="002961C3" w:rsidP="002961C3">
      <w:pPr>
        <w:pStyle w:val="Naslov7"/>
        <w:spacing w:line="240" w:lineRule="auto"/>
        <w:ind w:firstLine="720"/>
      </w:pPr>
      <w:r w:rsidRPr="005824CB">
        <w:t>5.1.5.</w:t>
      </w:r>
      <w:r w:rsidRPr="005824CB">
        <w:tab/>
        <w:t xml:space="preserve">Kapitalni </w:t>
      </w:r>
      <w:proofErr w:type="spellStart"/>
      <w:r w:rsidRPr="005824CB">
        <w:t>grantovi</w:t>
      </w:r>
      <w:proofErr w:type="spellEnd"/>
    </w:p>
    <w:p w:rsidR="000630AE" w:rsidRDefault="002961C3" w:rsidP="002961C3">
      <w:pPr>
        <w:pStyle w:val="Tijeloteksta"/>
      </w:pPr>
      <w:r w:rsidRPr="005824CB">
        <w:tab/>
        <w:t xml:space="preserve">Kapitalni </w:t>
      </w:r>
      <w:proofErr w:type="spellStart"/>
      <w:r w:rsidRPr="005824CB">
        <w:t>grantovi</w:t>
      </w:r>
      <w:proofErr w:type="spellEnd"/>
      <w:r w:rsidRPr="005824CB">
        <w:t xml:space="preserve"> (potkategorija 615000) planirani su u visini od </w:t>
      </w:r>
      <w:r w:rsidR="00D52071">
        <w:t>750</w:t>
      </w:r>
      <w:r w:rsidRPr="005824CB">
        <w:t>.000 KM</w:t>
      </w:r>
      <w:r w:rsidR="000630AE">
        <w:t>, i</w:t>
      </w:r>
      <w:r w:rsidRPr="005824CB">
        <w:t xml:space="preserve"> </w:t>
      </w:r>
      <w:r w:rsidR="000630AE">
        <w:t>u</w:t>
      </w:r>
      <w:r w:rsidRPr="005824CB">
        <w:t xml:space="preserve"> odnosu na Proračun 20</w:t>
      </w:r>
      <w:r w:rsidR="00D52071">
        <w:t>20</w:t>
      </w:r>
      <w:r w:rsidRPr="005824CB">
        <w:t xml:space="preserve">. godine </w:t>
      </w:r>
      <w:r w:rsidR="000630AE">
        <w:t xml:space="preserve">povećavaju se </w:t>
      </w:r>
      <w:r w:rsidRPr="005824CB">
        <w:t xml:space="preserve">za </w:t>
      </w:r>
      <w:r w:rsidR="00D52071">
        <w:t>105.000</w:t>
      </w:r>
      <w:r w:rsidRPr="005824CB">
        <w:t xml:space="preserve"> KM ili za </w:t>
      </w:r>
      <w:r w:rsidR="00D52071">
        <w:t>16,28</w:t>
      </w:r>
      <w:r w:rsidRPr="005824CB">
        <w:t>%.</w:t>
      </w:r>
      <w:r w:rsidR="000630AE">
        <w:t xml:space="preserve"> </w:t>
      </w:r>
    </w:p>
    <w:p w:rsidR="002961C3" w:rsidRPr="005824CB" w:rsidRDefault="00D52071" w:rsidP="000630AE">
      <w:pPr>
        <w:pStyle w:val="Tijeloteksta"/>
        <w:ind w:firstLine="720"/>
      </w:pPr>
      <w:r>
        <w:t xml:space="preserve">U odnosu na plan 2020. godine do značajnog povećanja došlo je na pozicijama Kapitalni grant za vodoprivredu i Kapitalni grant za uređenje poljoprivrednog zemljišta (615100) pri Ministarstvu poljoprivrede, vodoprivrede i šumarstva Županije Posavske, ukupno povećanje za 170.000 KM. Potrošnja na ovim pozicijama uvjetovana je realizacijom namjenskih prihoda u 2021. godini. </w:t>
      </w:r>
      <w:r w:rsidR="00E87DB7">
        <w:t>Kapitalni grant za razvoj poduzetništva, obrta i zadruga (615500) pri Ministarstvu gospodarstva, rada i prostornog uređenja planiran je u iznosu od 400.000 KM, što je 4,31% manje od plana za 2020. godinu, dok je Kapitalni grant (615100) pri Vladi Županije Posavske planiran u iznosu od 100.000 KM, i 31,97% je manji od plana za 2020. godinu.</w:t>
      </w:r>
    </w:p>
    <w:p w:rsidR="002961C3" w:rsidRPr="005824CB" w:rsidRDefault="002961C3">
      <w:pPr>
        <w:pStyle w:val="Tijeloteksta"/>
      </w:pPr>
    </w:p>
    <w:p w:rsidR="002961C3" w:rsidRPr="005824CB" w:rsidRDefault="002961C3" w:rsidP="002961C3">
      <w:pPr>
        <w:pStyle w:val="Naslov7"/>
        <w:spacing w:line="240" w:lineRule="auto"/>
      </w:pPr>
      <w:r w:rsidRPr="005824CB">
        <w:tab/>
        <w:t>5.1.6.</w:t>
      </w:r>
      <w:r w:rsidRPr="005824CB">
        <w:tab/>
        <w:t>Izdaci za kamate</w:t>
      </w:r>
    </w:p>
    <w:p w:rsidR="002961C3" w:rsidRPr="005824CB" w:rsidRDefault="002961C3" w:rsidP="002961C3">
      <w:pPr>
        <w:jc w:val="both"/>
        <w:rPr>
          <w:lang w:val="hr-HR"/>
        </w:rPr>
      </w:pPr>
      <w:r w:rsidRPr="005824CB">
        <w:rPr>
          <w:lang w:val="hr-HR"/>
        </w:rPr>
        <w:t xml:space="preserve">          </w:t>
      </w:r>
      <w:r w:rsidRPr="005824CB">
        <w:rPr>
          <w:lang w:val="hr-HR"/>
        </w:rPr>
        <w:tab/>
        <w:t xml:space="preserve">Izdaci za kamate (potkategorija 616000) su planirani u iznosu od </w:t>
      </w:r>
      <w:r w:rsidR="00E87DB7">
        <w:rPr>
          <w:lang w:val="hr-HR"/>
        </w:rPr>
        <w:t>37.920</w:t>
      </w:r>
      <w:r w:rsidR="004E4FEA" w:rsidRPr="005824CB">
        <w:rPr>
          <w:lang w:val="hr-HR"/>
        </w:rPr>
        <w:t xml:space="preserve"> KM</w:t>
      </w:r>
      <w:r w:rsidR="000630AE">
        <w:rPr>
          <w:lang w:val="hr-HR"/>
        </w:rPr>
        <w:t xml:space="preserve"> pri Ministarstvu financija Županije Posavske</w:t>
      </w:r>
      <w:r w:rsidR="004E4FEA" w:rsidRPr="005824CB">
        <w:rPr>
          <w:lang w:val="hr-HR"/>
        </w:rPr>
        <w:t>, a odnose</w:t>
      </w:r>
      <w:r w:rsidRPr="005824CB">
        <w:rPr>
          <w:lang w:val="hr-HR"/>
        </w:rPr>
        <w:t xml:space="preserve"> se na otplatu kamata na slijedeća zaduženja:</w:t>
      </w:r>
    </w:p>
    <w:p w:rsidR="002961C3" w:rsidRPr="005824CB" w:rsidRDefault="002961C3" w:rsidP="00D63FFB">
      <w:pPr>
        <w:numPr>
          <w:ilvl w:val="1"/>
          <w:numId w:val="1"/>
        </w:numPr>
        <w:jc w:val="both"/>
        <w:rPr>
          <w:lang w:val="hr-HR"/>
        </w:rPr>
      </w:pPr>
      <w:r w:rsidRPr="005824CB">
        <w:rPr>
          <w:szCs w:val="22"/>
          <w:lang w:val="hr-HR"/>
        </w:rPr>
        <w:t xml:space="preserve">kamate na kredit </w:t>
      </w:r>
      <w:proofErr w:type="spellStart"/>
      <w:r w:rsidRPr="005824CB">
        <w:rPr>
          <w:szCs w:val="22"/>
          <w:lang w:val="hr-HR"/>
        </w:rPr>
        <w:t>Export</w:t>
      </w:r>
      <w:proofErr w:type="spellEnd"/>
      <w:r w:rsidRPr="005824CB">
        <w:rPr>
          <w:szCs w:val="22"/>
          <w:lang w:val="hr-HR"/>
        </w:rPr>
        <w:t xml:space="preserve">-Import banke Republike Koreje za financiranje Faze II Projekta "Modernizacija bolnica u Bosni i Hercegovini" u iznosu do </w:t>
      </w:r>
      <w:r w:rsidR="00E87DB7">
        <w:rPr>
          <w:szCs w:val="22"/>
          <w:lang w:val="hr-HR"/>
        </w:rPr>
        <w:t>20.120</w:t>
      </w:r>
      <w:r w:rsidRPr="005824CB">
        <w:rPr>
          <w:szCs w:val="22"/>
          <w:lang w:val="hr-HR"/>
        </w:rPr>
        <w:t xml:space="preserve"> KM, i</w:t>
      </w:r>
    </w:p>
    <w:p w:rsidR="002961C3" w:rsidRPr="005824CB" w:rsidRDefault="002961C3" w:rsidP="00D63FFB">
      <w:pPr>
        <w:numPr>
          <w:ilvl w:val="1"/>
          <w:numId w:val="1"/>
        </w:numPr>
        <w:jc w:val="both"/>
        <w:rPr>
          <w:lang w:val="hr-HR"/>
        </w:rPr>
      </w:pPr>
      <w:r w:rsidRPr="005824CB">
        <w:rPr>
          <w:szCs w:val="22"/>
          <w:lang w:val="hr-HR"/>
        </w:rPr>
        <w:t xml:space="preserve">kamate na kredit </w:t>
      </w:r>
      <w:proofErr w:type="spellStart"/>
      <w:r w:rsidRPr="005824CB">
        <w:rPr>
          <w:szCs w:val="22"/>
          <w:lang w:val="hr-HR"/>
        </w:rPr>
        <w:t>UniCredit</w:t>
      </w:r>
      <w:proofErr w:type="spellEnd"/>
      <w:r w:rsidRPr="005824CB">
        <w:rPr>
          <w:szCs w:val="22"/>
          <w:lang w:val="hr-HR"/>
        </w:rPr>
        <w:t xml:space="preserve"> bank </w:t>
      </w:r>
      <w:proofErr w:type="spellStart"/>
      <w:r w:rsidRPr="005824CB">
        <w:rPr>
          <w:szCs w:val="22"/>
          <w:lang w:val="hr-HR"/>
        </w:rPr>
        <w:t>Austria</w:t>
      </w:r>
      <w:proofErr w:type="spellEnd"/>
      <w:r w:rsidRPr="005824CB">
        <w:rPr>
          <w:szCs w:val="22"/>
          <w:lang w:val="hr-HR"/>
        </w:rPr>
        <w:t xml:space="preserve"> AG za financiranje projekta nabave, instalacije, obuke i održavanja medicinske i nemedicinske opreme i usluga u Županijskoj bolnici Orašje u iznosu od </w:t>
      </w:r>
      <w:r w:rsidR="00E87DB7">
        <w:rPr>
          <w:szCs w:val="22"/>
          <w:lang w:val="hr-HR"/>
        </w:rPr>
        <w:t>17.800</w:t>
      </w:r>
      <w:r w:rsidRPr="005824CB">
        <w:rPr>
          <w:szCs w:val="22"/>
          <w:lang w:val="hr-HR"/>
        </w:rPr>
        <w:t xml:space="preserve"> KM.</w:t>
      </w:r>
    </w:p>
    <w:p w:rsidR="002961C3" w:rsidRPr="005824CB" w:rsidRDefault="002961C3" w:rsidP="002961C3">
      <w:pPr>
        <w:jc w:val="both"/>
        <w:rPr>
          <w:sz w:val="20"/>
          <w:szCs w:val="22"/>
          <w:lang w:val="hr-HR"/>
        </w:rPr>
      </w:pPr>
    </w:p>
    <w:p w:rsidR="002961C3" w:rsidRPr="005824CB" w:rsidRDefault="002961C3" w:rsidP="002961C3">
      <w:pPr>
        <w:ind w:firstLine="720"/>
        <w:jc w:val="both"/>
        <w:rPr>
          <w:szCs w:val="22"/>
          <w:lang w:val="hr-HR"/>
        </w:rPr>
      </w:pPr>
      <w:r w:rsidRPr="005824CB">
        <w:rPr>
          <w:szCs w:val="22"/>
          <w:lang w:val="hr-HR"/>
        </w:rPr>
        <w:t>U odnosu na plan Proračuna za 20</w:t>
      </w:r>
      <w:r w:rsidR="00E87DB7">
        <w:rPr>
          <w:szCs w:val="22"/>
          <w:lang w:val="hr-HR"/>
        </w:rPr>
        <w:t>20</w:t>
      </w:r>
      <w:r w:rsidRPr="005824CB">
        <w:rPr>
          <w:szCs w:val="22"/>
          <w:lang w:val="hr-HR"/>
        </w:rPr>
        <w:t xml:space="preserve">. godinu izdaci za kamate se smanjuju za </w:t>
      </w:r>
      <w:r w:rsidR="00E87DB7">
        <w:rPr>
          <w:szCs w:val="22"/>
          <w:lang w:val="hr-HR"/>
        </w:rPr>
        <w:t>9,11</w:t>
      </w:r>
      <w:r w:rsidRPr="005824CB">
        <w:rPr>
          <w:szCs w:val="22"/>
          <w:lang w:val="hr-HR"/>
        </w:rPr>
        <w:t>%</w:t>
      </w:r>
      <w:r w:rsidR="000630AE">
        <w:rPr>
          <w:szCs w:val="22"/>
          <w:lang w:val="hr-HR"/>
        </w:rPr>
        <w:t>,</w:t>
      </w:r>
      <w:r w:rsidRPr="005824CB">
        <w:rPr>
          <w:szCs w:val="22"/>
          <w:lang w:val="hr-HR"/>
        </w:rPr>
        <w:t xml:space="preserve"> ili u apsolutnom iznosu za </w:t>
      </w:r>
      <w:r w:rsidR="00E87DB7">
        <w:rPr>
          <w:szCs w:val="22"/>
          <w:lang w:val="hr-HR"/>
        </w:rPr>
        <w:t>3.800</w:t>
      </w:r>
      <w:r w:rsidRPr="005824CB">
        <w:rPr>
          <w:szCs w:val="22"/>
          <w:lang w:val="hr-HR"/>
        </w:rPr>
        <w:t xml:space="preserve"> KM.</w:t>
      </w:r>
      <w:r w:rsidR="004E4FEA" w:rsidRPr="005824CB">
        <w:rPr>
          <w:szCs w:val="22"/>
          <w:lang w:val="hr-HR"/>
        </w:rPr>
        <w:t xml:space="preserve"> </w:t>
      </w:r>
    </w:p>
    <w:p w:rsidR="002961C3" w:rsidRDefault="002961C3">
      <w:pPr>
        <w:pStyle w:val="Tijeloteksta"/>
      </w:pPr>
    </w:p>
    <w:p w:rsidR="00F354BB" w:rsidRPr="005824CB" w:rsidRDefault="00F354BB">
      <w:pPr>
        <w:pStyle w:val="Tijeloteksta"/>
      </w:pPr>
    </w:p>
    <w:tbl>
      <w:tblPr>
        <w:tblW w:w="0" w:type="auto"/>
        <w:tblLook w:val="0000"/>
      </w:tblPr>
      <w:tblGrid>
        <w:gridCol w:w="828"/>
        <w:gridCol w:w="8771"/>
      </w:tblGrid>
      <w:tr w:rsidR="002961C3" w:rsidRPr="005824CB" w:rsidTr="00CA1958">
        <w:tc>
          <w:tcPr>
            <w:tcW w:w="828" w:type="dxa"/>
            <w:shd w:val="clear" w:color="auto" w:fill="404040"/>
          </w:tcPr>
          <w:p w:rsidR="002961C3" w:rsidRPr="005824CB" w:rsidRDefault="002961C3" w:rsidP="00CA1958">
            <w:pPr>
              <w:pStyle w:val="Naslov"/>
              <w:rPr>
                <w:color w:val="FFFFFF"/>
              </w:rPr>
            </w:pPr>
            <w:r w:rsidRPr="005824CB">
              <w:br w:type="page"/>
            </w:r>
            <w:r w:rsidRPr="005824CB">
              <w:rPr>
                <w:color w:val="FFFFFF"/>
              </w:rPr>
              <w:t>6.</w:t>
            </w:r>
          </w:p>
        </w:tc>
        <w:tc>
          <w:tcPr>
            <w:tcW w:w="8771" w:type="dxa"/>
          </w:tcPr>
          <w:p w:rsidR="002961C3" w:rsidRPr="005824CB" w:rsidRDefault="002961C3" w:rsidP="00E87DB7">
            <w:pPr>
              <w:pStyle w:val="Naslov"/>
              <w:jc w:val="both"/>
            </w:pPr>
            <w:r w:rsidRPr="005824CB">
              <w:t>STRUKTURA PRORAČUNA ŽUPANIJE POSAVSKE ZA 20</w:t>
            </w:r>
            <w:r w:rsidR="000630AE">
              <w:t>2</w:t>
            </w:r>
            <w:r w:rsidR="00E87DB7">
              <w:t>1</w:t>
            </w:r>
            <w:r w:rsidRPr="005824CB">
              <w:t>. GODINU – TEKUĆA BILANCA</w:t>
            </w:r>
          </w:p>
        </w:tc>
      </w:tr>
    </w:tbl>
    <w:p w:rsidR="002961C3" w:rsidRPr="005824CB" w:rsidRDefault="002961C3" w:rsidP="002961C3">
      <w:pPr>
        <w:jc w:val="both"/>
        <w:rPr>
          <w:b/>
          <w:bCs/>
          <w:sz w:val="28"/>
          <w:lang w:val="hr-HR"/>
        </w:rPr>
      </w:pPr>
    </w:p>
    <w:p w:rsidR="002961C3" w:rsidRPr="005824CB" w:rsidRDefault="002961C3" w:rsidP="002961C3">
      <w:pPr>
        <w:pStyle w:val="Uvuenotijeloteksta"/>
        <w:spacing w:line="240" w:lineRule="auto"/>
      </w:pPr>
      <w:r w:rsidRPr="005824CB">
        <w:t>Obzirom da planirani prihodi Proračuna Županije Posavske za 20</w:t>
      </w:r>
      <w:r w:rsidR="000630AE">
        <w:t>2</w:t>
      </w:r>
      <w:r w:rsidR="00E87DB7">
        <w:t>1</w:t>
      </w:r>
      <w:r w:rsidRPr="005824CB">
        <w:t xml:space="preserve">. godinu iznose </w:t>
      </w:r>
      <w:r w:rsidR="00E87DB7">
        <w:t>44.506.960</w:t>
      </w:r>
      <w:r w:rsidRPr="005824CB">
        <w:t xml:space="preserve"> KM, a proračunski rashodi iznose </w:t>
      </w:r>
      <w:r w:rsidR="00E87DB7">
        <w:t>42.298.630</w:t>
      </w:r>
      <w:r w:rsidRPr="005824CB">
        <w:t xml:space="preserve"> KM, planiran je </w:t>
      </w:r>
      <w:r w:rsidRPr="005824CB">
        <w:rPr>
          <w:b/>
        </w:rPr>
        <w:t>tekući suficit</w:t>
      </w:r>
      <w:r w:rsidRPr="005824CB">
        <w:t xml:space="preserve"> u iznosu od </w:t>
      </w:r>
      <w:r w:rsidR="00E87DB7">
        <w:rPr>
          <w:b/>
        </w:rPr>
        <w:t>2.208.330</w:t>
      </w:r>
      <w:r w:rsidRPr="005824CB">
        <w:rPr>
          <w:b/>
        </w:rPr>
        <w:t xml:space="preserve"> KM</w:t>
      </w:r>
      <w:r w:rsidRPr="005824CB">
        <w:t>.</w:t>
      </w:r>
    </w:p>
    <w:p w:rsidR="002961C3" w:rsidRPr="005824CB" w:rsidRDefault="00C74E2C" w:rsidP="002961C3">
      <w:pPr>
        <w:pStyle w:val="Uvuenotijeloteksta"/>
        <w:spacing w:line="240" w:lineRule="auto"/>
        <w:ind w:firstLine="0"/>
        <w:jc w:val="center"/>
      </w:pPr>
      <w:r w:rsidRPr="005824CB">
        <w:rPr>
          <w:noProof/>
          <w:lang w:eastAsia="hr-HR"/>
        </w:rPr>
        <w:drawing>
          <wp:inline distT="0" distB="0" distL="0" distR="0">
            <wp:extent cx="3792855" cy="2138045"/>
            <wp:effectExtent l="0" t="0" r="0" b="0"/>
            <wp:docPr id="33" name="Objek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61C3" w:rsidRDefault="002961C3">
      <w:pPr>
        <w:pStyle w:val="Tijeloteksta"/>
      </w:pPr>
    </w:p>
    <w:p w:rsidR="00E87DB7" w:rsidRDefault="00E87DB7">
      <w:pPr>
        <w:pStyle w:val="Tijeloteksta"/>
      </w:pPr>
    </w:p>
    <w:p w:rsidR="00E87DB7" w:rsidRPr="005824CB" w:rsidRDefault="00E87DB7">
      <w:pPr>
        <w:pStyle w:val="Tijeloteksta"/>
      </w:pPr>
    </w:p>
    <w:tbl>
      <w:tblPr>
        <w:tblW w:w="0" w:type="auto"/>
        <w:tblLook w:val="0000"/>
      </w:tblPr>
      <w:tblGrid>
        <w:gridCol w:w="828"/>
        <w:gridCol w:w="8771"/>
      </w:tblGrid>
      <w:tr w:rsidR="00CA1958" w:rsidRPr="005824CB">
        <w:tc>
          <w:tcPr>
            <w:tcW w:w="828" w:type="dxa"/>
            <w:shd w:val="clear" w:color="auto" w:fill="404040"/>
          </w:tcPr>
          <w:p w:rsidR="00CA1958" w:rsidRPr="005824CB" w:rsidRDefault="00CA1958">
            <w:pPr>
              <w:pStyle w:val="Naslov"/>
              <w:rPr>
                <w:color w:val="FFFFFF"/>
              </w:rPr>
            </w:pPr>
            <w:r w:rsidRPr="005824CB">
              <w:lastRenderedPageBreak/>
              <w:br w:type="page"/>
            </w:r>
            <w:r w:rsidRPr="005824CB">
              <w:rPr>
                <w:color w:val="FFFFFF"/>
              </w:rPr>
              <w:t>7.</w:t>
            </w:r>
          </w:p>
        </w:tc>
        <w:tc>
          <w:tcPr>
            <w:tcW w:w="8771" w:type="dxa"/>
          </w:tcPr>
          <w:p w:rsidR="00CA1958" w:rsidRPr="005824CB" w:rsidRDefault="00CA1958" w:rsidP="00E87DB7">
            <w:pPr>
              <w:pStyle w:val="Naslov"/>
              <w:jc w:val="both"/>
            </w:pPr>
            <w:r w:rsidRPr="005824CB">
              <w:t>STRUKTURA PRORAČUNA ŽUPANIJE POSAVSKE ZA 20</w:t>
            </w:r>
            <w:r w:rsidR="00302AD7">
              <w:t>2</w:t>
            </w:r>
            <w:r w:rsidR="00E87DB7">
              <w:t>1</w:t>
            </w:r>
            <w:r w:rsidRPr="005824CB">
              <w:t>. GODINU – NETO NABAVKA NEFINANCIJSKE IMOVINE</w:t>
            </w:r>
          </w:p>
        </w:tc>
      </w:tr>
    </w:tbl>
    <w:p w:rsidR="00CA1958" w:rsidRPr="005824CB" w:rsidRDefault="00CA1958">
      <w:pPr>
        <w:jc w:val="both"/>
        <w:rPr>
          <w:lang w:val="hr-HR"/>
        </w:rPr>
      </w:pPr>
    </w:p>
    <w:p w:rsidR="00CA1958" w:rsidRPr="005824CB" w:rsidRDefault="00CA1958">
      <w:pPr>
        <w:pStyle w:val="Uvuenotijeloteksta"/>
        <w:spacing w:line="240" w:lineRule="auto"/>
      </w:pPr>
      <w:r w:rsidRPr="005824CB">
        <w:t>Proračunom za 20</w:t>
      </w:r>
      <w:r w:rsidR="00302AD7">
        <w:t>2</w:t>
      </w:r>
      <w:r w:rsidR="00E87DB7">
        <w:t>1</w:t>
      </w:r>
      <w:r w:rsidRPr="005824CB">
        <w:t xml:space="preserve">. godinu planirana </w:t>
      </w:r>
      <w:r w:rsidRPr="005824CB">
        <w:rPr>
          <w:b/>
        </w:rPr>
        <w:t>neto nabavka nefinancijske imovine</w:t>
      </w:r>
      <w:r w:rsidRPr="005824CB">
        <w:t xml:space="preserve"> iznosi </w:t>
      </w:r>
      <w:r w:rsidR="00302AD7">
        <w:t xml:space="preserve">        </w:t>
      </w:r>
      <w:r w:rsidRPr="005824CB">
        <w:rPr>
          <w:b/>
        </w:rPr>
        <w:t>-1.</w:t>
      </w:r>
      <w:r w:rsidR="00E87DB7">
        <w:rPr>
          <w:b/>
        </w:rPr>
        <w:t>687</w:t>
      </w:r>
      <w:r w:rsidRPr="005824CB">
        <w:rPr>
          <w:b/>
        </w:rPr>
        <w:t>.</w:t>
      </w:r>
      <w:r w:rsidR="00302AD7">
        <w:rPr>
          <w:b/>
        </w:rPr>
        <w:t>00</w:t>
      </w:r>
      <w:r w:rsidRPr="005824CB">
        <w:rPr>
          <w:b/>
        </w:rPr>
        <w:t>0 KM</w:t>
      </w:r>
      <w:r w:rsidRPr="005824CB">
        <w:t>.</w:t>
      </w:r>
    </w:p>
    <w:p w:rsidR="00CA1958" w:rsidRPr="005824CB" w:rsidRDefault="00CA1958">
      <w:pPr>
        <w:pStyle w:val="Uvuenotijeloteksta"/>
        <w:spacing w:line="240" w:lineRule="auto"/>
      </w:pPr>
    </w:p>
    <w:p w:rsidR="00CA1958" w:rsidRPr="005824CB" w:rsidRDefault="00CA1958">
      <w:pPr>
        <w:pStyle w:val="Naslov3"/>
        <w:ind w:firstLine="720"/>
        <w:jc w:val="both"/>
      </w:pPr>
      <w:r w:rsidRPr="005824CB">
        <w:t xml:space="preserve">7.1.1   </w:t>
      </w:r>
      <w:r w:rsidRPr="005824CB">
        <w:tab/>
        <w:t>PRIMICI OD PRODAJE NEFINANCIJSKE IMOVINE</w:t>
      </w:r>
    </w:p>
    <w:p w:rsidR="00CA1958" w:rsidRPr="005824CB" w:rsidRDefault="00CA1958">
      <w:pPr>
        <w:rPr>
          <w:sz w:val="16"/>
          <w:szCs w:val="16"/>
          <w:lang w:val="hr-HR"/>
        </w:rPr>
      </w:pPr>
    </w:p>
    <w:p w:rsidR="00CA1958" w:rsidRPr="005824CB" w:rsidRDefault="00CA1958">
      <w:pPr>
        <w:pStyle w:val="Tijeloteksta"/>
      </w:pPr>
      <w:r w:rsidRPr="005824CB">
        <w:tab/>
        <w:t>Primici od prodaje nefinancijske imovine odnosno primici od prodaje stalnih sredstava (kategorija 811000) nisu planirani u 20</w:t>
      </w:r>
      <w:r w:rsidR="00302AD7">
        <w:t>2</w:t>
      </w:r>
      <w:r w:rsidR="00E87DB7">
        <w:t>1</w:t>
      </w:r>
      <w:r w:rsidRPr="005824CB">
        <w:t>. godini.</w:t>
      </w:r>
    </w:p>
    <w:p w:rsidR="005165EA" w:rsidRPr="005824CB" w:rsidRDefault="005165EA">
      <w:pPr>
        <w:autoSpaceDE w:val="0"/>
        <w:autoSpaceDN w:val="0"/>
        <w:adjustRightInd w:val="0"/>
        <w:jc w:val="both"/>
        <w:rPr>
          <w:lang w:val="hr-HR"/>
        </w:rPr>
      </w:pPr>
    </w:p>
    <w:p w:rsidR="00CA1958" w:rsidRPr="005824CB" w:rsidRDefault="00CA1958">
      <w:pPr>
        <w:pStyle w:val="Naslov3"/>
        <w:ind w:firstLine="720"/>
        <w:jc w:val="both"/>
      </w:pPr>
      <w:r w:rsidRPr="005824CB">
        <w:t xml:space="preserve">7.1.2   </w:t>
      </w:r>
      <w:r w:rsidRPr="005824CB">
        <w:tab/>
        <w:t>IZDACI ZA NABAVKU NEFINANCIJSKE IMOVINE</w:t>
      </w:r>
    </w:p>
    <w:p w:rsidR="00CA1958" w:rsidRPr="005824CB" w:rsidRDefault="00CA1958">
      <w:pPr>
        <w:jc w:val="both"/>
        <w:rPr>
          <w:b/>
          <w:bCs/>
          <w:sz w:val="28"/>
          <w:lang w:val="hr-HR"/>
        </w:rPr>
      </w:pPr>
    </w:p>
    <w:p w:rsidR="00302AD7" w:rsidRDefault="00CA1958" w:rsidP="00E87DB7">
      <w:pPr>
        <w:jc w:val="both"/>
      </w:pPr>
      <w:r w:rsidRPr="005824CB">
        <w:rPr>
          <w:lang w:val="hr-HR"/>
        </w:rPr>
        <w:t xml:space="preserve">          Proračunom za fiskalnu 20</w:t>
      </w:r>
      <w:r w:rsidR="00302AD7">
        <w:rPr>
          <w:lang w:val="hr-HR"/>
        </w:rPr>
        <w:t>2</w:t>
      </w:r>
      <w:r w:rsidR="00E87DB7">
        <w:rPr>
          <w:lang w:val="hr-HR"/>
        </w:rPr>
        <w:t>1</w:t>
      </w:r>
      <w:r w:rsidRPr="005824CB">
        <w:rPr>
          <w:lang w:val="hr-HR"/>
        </w:rPr>
        <w:t xml:space="preserve">. godinu kod izdataka za nabavku stalnih sredstava (potkategorija 821000) planiran je iznos od </w:t>
      </w:r>
      <w:r w:rsidR="00E87DB7">
        <w:rPr>
          <w:lang w:val="hr-HR"/>
        </w:rPr>
        <w:t>1.687.000</w:t>
      </w:r>
      <w:r w:rsidRPr="005824CB">
        <w:rPr>
          <w:lang w:val="hr-HR"/>
        </w:rPr>
        <w:t xml:space="preserve"> KM, što je za </w:t>
      </w:r>
      <w:r w:rsidR="00E87DB7">
        <w:rPr>
          <w:lang w:val="hr-HR"/>
        </w:rPr>
        <w:t>19,17</w:t>
      </w:r>
      <w:r w:rsidRPr="005824CB">
        <w:rPr>
          <w:lang w:val="hr-HR"/>
        </w:rPr>
        <w:t xml:space="preserve">% </w:t>
      </w:r>
      <w:r w:rsidR="00E87DB7">
        <w:rPr>
          <w:lang w:val="hr-HR"/>
        </w:rPr>
        <w:t>manje</w:t>
      </w:r>
      <w:r w:rsidRPr="005824CB">
        <w:rPr>
          <w:lang w:val="hr-HR"/>
        </w:rPr>
        <w:t xml:space="preserve"> u odnosu na plan 20</w:t>
      </w:r>
      <w:r w:rsidR="00E87DB7">
        <w:rPr>
          <w:lang w:val="hr-HR"/>
        </w:rPr>
        <w:t>20</w:t>
      </w:r>
      <w:r w:rsidRPr="005824CB">
        <w:rPr>
          <w:lang w:val="hr-HR"/>
        </w:rPr>
        <w:t xml:space="preserve">. godine, odnosno u apsolutnom iznosu </w:t>
      </w:r>
      <w:r w:rsidR="00E87DB7">
        <w:rPr>
          <w:lang w:val="hr-HR"/>
        </w:rPr>
        <w:t>manje</w:t>
      </w:r>
      <w:r w:rsidRPr="005824CB">
        <w:rPr>
          <w:lang w:val="hr-HR"/>
        </w:rPr>
        <w:t xml:space="preserve"> za </w:t>
      </w:r>
      <w:r w:rsidR="00E87DB7">
        <w:rPr>
          <w:lang w:val="hr-HR"/>
        </w:rPr>
        <w:t>400.010</w:t>
      </w:r>
      <w:r w:rsidR="001D4A49" w:rsidRPr="005824CB">
        <w:rPr>
          <w:lang w:val="hr-HR"/>
        </w:rPr>
        <w:t xml:space="preserve"> KM</w:t>
      </w:r>
      <w:r w:rsidRPr="005824CB">
        <w:rPr>
          <w:lang w:val="hr-HR"/>
        </w:rPr>
        <w:t xml:space="preserve">. U okviru ovih izdataka, izdaci za nabavku građevina (glavna grupa 821200) iznose </w:t>
      </w:r>
      <w:r w:rsidR="00E87DB7">
        <w:rPr>
          <w:lang w:val="hr-HR"/>
        </w:rPr>
        <w:t>151.000</w:t>
      </w:r>
      <w:r w:rsidRPr="005824CB">
        <w:rPr>
          <w:lang w:val="hr-HR"/>
        </w:rPr>
        <w:t xml:space="preserve"> KM, izdaci za nabavku opreme (glavna grupa 821300) </w:t>
      </w:r>
      <w:r w:rsidR="00E87DB7">
        <w:rPr>
          <w:lang w:val="hr-HR"/>
        </w:rPr>
        <w:t>316.000</w:t>
      </w:r>
      <w:r w:rsidRPr="005824CB">
        <w:rPr>
          <w:lang w:val="hr-HR"/>
        </w:rPr>
        <w:t xml:space="preserve"> KM,</w:t>
      </w:r>
      <w:r w:rsidR="001D4A49" w:rsidRPr="005824CB">
        <w:rPr>
          <w:lang w:val="hr-HR"/>
        </w:rPr>
        <w:t xml:space="preserve"> izdaci za nabavku stalnih sredstava u obliku prava (glavna grupa 821500) </w:t>
      </w:r>
      <w:r w:rsidR="00E87DB7">
        <w:rPr>
          <w:lang w:val="hr-HR"/>
        </w:rPr>
        <w:t>50.000</w:t>
      </w:r>
      <w:r w:rsidR="001D4A49" w:rsidRPr="005824CB">
        <w:rPr>
          <w:lang w:val="hr-HR"/>
        </w:rPr>
        <w:t xml:space="preserve"> KM,</w:t>
      </w:r>
      <w:r w:rsidRPr="005824CB">
        <w:rPr>
          <w:lang w:val="hr-HR"/>
        </w:rPr>
        <w:t xml:space="preserve"> </w:t>
      </w:r>
      <w:r w:rsidR="00E87DB7">
        <w:rPr>
          <w:lang w:val="hr-HR"/>
        </w:rPr>
        <w:t>rekonstrukcija i investicijsko održavanje lokalnih cesta (glavna grupa 821500) 770.000 KM, te</w:t>
      </w:r>
      <w:r w:rsidRPr="005824CB">
        <w:rPr>
          <w:lang w:val="hr-HR"/>
        </w:rPr>
        <w:t xml:space="preserve"> rekonstrukcija i investicijsko održavanje</w:t>
      </w:r>
      <w:r w:rsidR="00E87DB7">
        <w:rPr>
          <w:lang w:val="hr-HR"/>
        </w:rPr>
        <w:t xml:space="preserve"> regionalnih cesta</w:t>
      </w:r>
      <w:r w:rsidRPr="005824CB">
        <w:rPr>
          <w:lang w:val="hr-HR"/>
        </w:rPr>
        <w:t xml:space="preserve"> (glavna grupa 821600) </w:t>
      </w:r>
      <w:r w:rsidR="00302AD7">
        <w:rPr>
          <w:lang w:val="hr-HR"/>
        </w:rPr>
        <w:t>400.000</w:t>
      </w:r>
      <w:r w:rsidRPr="005824CB">
        <w:rPr>
          <w:lang w:val="hr-HR"/>
        </w:rPr>
        <w:t xml:space="preserve"> KM. </w:t>
      </w:r>
    </w:p>
    <w:p w:rsidR="00302AD7" w:rsidRPr="00302AD7" w:rsidRDefault="00302AD7" w:rsidP="00E87DB7">
      <w:pPr>
        <w:ind w:firstLine="720"/>
        <w:jc w:val="both"/>
      </w:pPr>
      <w:r>
        <w:t xml:space="preserve">U </w:t>
      </w:r>
      <w:proofErr w:type="spellStart"/>
      <w:r>
        <w:t>odnosu</w:t>
      </w:r>
      <w:proofErr w:type="spellEnd"/>
      <w:r>
        <w:t xml:space="preserve"> </w:t>
      </w:r>
      <w:proofErr w:type="spellStart"/>
      <w:proofErr w:type="gramStart"/>
      <w:r>
        <w:t>na</w:t>
      </w:r>
      <w:proofErr w:type="spellEnd"/>
      <w:proofErr w:type="gramEnd"/>
      <w:r>
        <w:t xml:space="preserve"> plan 20</w:t>
      </w:r>
      <w:r w:rsidR="00E87DB7">
        <w:t>20</w:t>
      </w:r>
      <w:r>
        <w:t xml:space="preserve">. </w:t>
      </w:r>
      <w:proofErr w:type="spellStart"/>
      <w:proofErr w:type="gramStart"/>
      <w:r>
        <w:t>godine</w:t>
      </w:r>
      <w:proofErr w:type="spellEnd"/>
      <w:proofErr w:type="gramEnd"/>
      <w:r>
        <w:t xml:space="preserve"> </w:t>
      </w:r>
      <w:proofErr w:type="spellStart"/>
      <w:r>
        <w:t>na</w:t>
      </w:r>
      <w:proofErr w:type="spellEnd"/>
      <w:r>
        <w:t xml:space="preserve"> </w:t>
      </w:r>
      <w:proofErr w:type="spellStart"/>
      <w:r>
        <w:t>rekonstrukciju</w:t>
      </w:r>
      <w:proofErr w:type="spellEnd"/>
      <w:r>
        <w:t xml:space="preserve"> </w:t>
      </w:r>
      <w:proofErr w:type="spellStart"/>
      <w:r>
        <w:t>i</w:t>
      </w:r>
      <w:proofErr w:type="spellEnd"/>
      <w:r>
        <w:t xml:space="preserve"> </w:t>
      </w:r>
      <w:proofErr w:type="spellStart"/>
      <w:r>
        <w:t>investicijsko</w:t>
      </w:r>
      <w:proofErr w:type="spellEnd"/>
      <w:r>
        <w:t xml:space="preserve"> </w:t>
      </w:r>
      <w:proofErr w:type="spellStart"/>
      <w:r>
        <w:t>održavanje</w:t>
      </w:r>
      <w:proofErr w:type="spellEnd"/>
      <w:r>
        <w:t xml:space="preserve"> </w:t>
      </w:r>
      <w:proofErr w:type="spellStart"/>
      <w:r w:rsidR="00E87DB7">
        <w:t>lokalnih</w:t>
      </w:r>
      <w:proofErr w:type="spellEnd"/>
      <w:r w:rsidR="00E87DB7">
        <w:t xml:space="preserve"> </w:t>
      </w:r>
      <w:proofErr w:type="spellStart"/>
      <w:r w:rsidR="00E87DB7">
        <w:t>i</w:t>
      </w:r>
      <w:proofErr w:type="spellEnd"/>
      <w:r w:rsidR="00E87DB7">
        <w:t xml:space="preserve"> </w:t>
      </w:r>
      <w:proofErr w:type="spellStart"/>
      <w:r w:rsidR="00E87DB7">
        <w:t>regionalnih</w:t>
      </w:r>
      <w:proofErr w:type="spellEnd"/>
      <w:r w:rsidR="00E87DB7">
        <w:t xml:space="preserve"> </w:t>
      </w:r>
      <w:proofErr w:type="spellStart"/>
      <w:r>
        <w:t>cesta</w:t>
      </w:r>
      <w:proofErr w:type="spellEnd"/>
      <w:r>
        <w:t xml:space="preserve"> </w:t>
      </w:r>
      <w:proofErr w:type="spellStart"/>
      <w:r>
        <w:t>dati</w:t>
      </w:r>
      <w:proofErr w:type="spellEnd"/>
      <w:r>
        <w:t xml:space="preserve"> </w:t>
      </w:r>
      <w:proofErr w:type="spellStart"/>
      <w:r>
        <w:t>će</w:t>
      </w:r>
      <w:proofErr w:type="spellEnd"/>
      <w:r>
        <w:t xml:space="preserve"> se </w:t>
      </w:r>
      <w:proofErr w:type="spellStart"/>
      <w:r w:rsidR="00E87DB7">
        <w:t>ukupno</w:t>
      </w:r>
      <w:proofErr w:type="spellEnd"/>
      <w:r w:rsidR="00E87DB7">
        <w:t xml:space="preserve"> 1.170.000 KM </w:t>
      </w:r>
      <w:proofErr w:type="spellStart"/>
      <w:r w:rsidR="00E87DB7">
        <w:t>ili</w:t>
      </w:r>
      <w:proofErr w:type="spellEnd"/>
      <w:r w:rsidR="00E87DB7">
        <w:t xml:space="preserve"> 41.960</w:t>
      </w:r>
      <w:r>
        <w:t xml:space="preserve"> KM </w:t>
      </w:r>
      <w:proofErr w:type="spellStart"/>
      <w:r w:rsidR="00E87DB7">
        <w:t>manje</w:t>
      </w:r>
      <w:proofErr w:type="spellEnd"/>
      <w:r w:rsidR="00E87DB7">
        <w:t xml:space="preserve">, </w:t>
      </w:r>
      <w:proofErr w:type="spellStart"/>
      <w:r w:rsidR="00E87DB7">
        <w:t>odnosno</w:t>
      </w:r>
      <w:proofErr w:type="spellEnd"/>
      <w:r w:rsidR="00E87DB7">
        <w:t xml:space="preserve"> 3,46</w:t>
      </w:r>
      <w:r>
        <w:t xml:space="preserve">% </w:t>
      </w:r>
      <w:proofErr w:type="spellStart"/>
      <w:r w:rsidR="00E87DB7">
        <w:t>manje</w:t>
      </w:r>
      <w:proofErr w:type="spellEnd"/>
      <w:r>
        <w:t>.</w:t>
      </w:r>
    </w:p>
    <w:p w:rsidR="00153B75" w:rsidRPr="005824CB" w:rsidRDefault="00153B75">
      <w:pPr>
        <w:ind w:firstLine="720"/>
        <w:jc w:val="both"/>
        <w:rPr>
          <w:lang w:val="hr-HR"/>
        </w:rPr>
      </w:pPr>
    </w:p>
    <w:p w:rsidR="00CA1958" w:rsidRPr="005824CB" w:rsidRDefault="00C74E2C">
      <w:pPr>
        <w:pStyle w:val="Uvuenotijeloteksta"/>
        <w:spacing w:line="240" w:lineRule="auto"/>
        <w:ind w:firstLine="0"/>
        <w:jc w:val="center"/>
      </w:pPr>
      <w:r w:rsidRPr="005824CB">
        <w:rPr>
          <w:noProof/>
          <w:lang w:eastAsia="hr-HR"/>
        </w:rPr>
        <w:drawing>
          <wp:inline distT="0" distB="0" distL="0" distR="0">
            <wp:extent cx="3792855" cy="2138045"/>
            <wp:effectExtent l="0" t="0" r="0" b="0"/>
            <wp:docPr id="51" name="Objekt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370A" w:rsidRPr="005824CB" w:rsidRDefault="00AB370A">
      <w:pPr>
        <w:jc w:val="both"/>
        <w:rPr>
          <w:lang w:val="hr-HR"/>
        </w:rPr>
      </w:pPr>
    </w:p>
    <w:p w:rsidR="00153B75" w:rsidRPr="005824CB" w:rsidRDefault="00153B75">
      <w:pPr>
        <w:jc w:val="both"/>
        <w:rPr>
          <w:lang w:val="hr-HR"/>
        </w:rPr>
      </w:pPr>
    </w:p>
    <w:p w:rsidR="00153B75" w:rsidRPr="005824CB" w:rsidRDefault="00153B75">
      <w:pPr>
        <w:jc w:val="both"/>
        <w:rPr>
          <w:lang w:val="hr-HR"/>
        </w:rPr>
      </w:pPr>
    </w:p>
    <w:tbl>
      <w:tblPr>
        <w:tblW w:w="0" w:type="auto"/>
        <w:tblLook w:val="0000"/>
      </w:tblPr>
      <w:tblGrid>
        <w:gridCol w:w="828"/>
        <w:gridCol w:w="8771"/>
      </w:tblGrid>
      <w:tr w:rsidR="00CA1958" w:rsidRPr="005824CB">
        <w:tc>
          <w:tcPr>
            <w:tcW w:w="828" w:type="dxa"/>
            <w:shd w:val="clear" w:color="auto" w:fill="404040"/>
          </w:tcPr>
          <w:p w:rsidR="00CA1958" w:rsidRPr="005824CB" w:rsidRDefault="00CA1958">
            <w:pPr>
              <w:pStyle w:val="Naslov"/>
              <w:rPr>
                <w:color w:val="FFFFFF"/>
              </w:rPr>
            </w:pPr>
            <w:r w:rsidRPr="005824CB">
              <w:br w:type="page"/>
            </w:r>
            <w:r w:rsidRPr="005824CB">
              <w:rPr>
                <w:color w:val="FFFFFF"/>
              </w:rPr>
              <w:t>8.</w:t>
            </w:r>
          </w:p>
        </w:tc>
        <w:tc>
          <w:tcPr>
            <w:tcW w:w="8771" w:type="dxa"/>
          </w:tcPr>
          <w:p w:rsidR="00CA1958" w:rsidRPr="005824CB" w:rsidRDefault="00CA1958" w:rsidP="00E87DB7">
            <w:pPr>
              <w:pStyle w:val="Naslov"/>
              <w:jc w:val="both"/>
            </w:pPr>
            <w:r w:rsidRPr="005824CB">
              <w:t>STRUKTURA PRORAČUNA ŽUPANIJE POSAVSKE ZA 20</w:t>
            </w:r>
            <w:r w:rsidR="00302AD7">
              <w:t>2</w:t>
            </w:r>
            <w:r w:rsidR="00E87DB7">
              <w:t>1</w:t>
            </w:r>
            <w:r w:rsidRPr="005824CB">
              <w:t>. GODINU – UKUPAN SUFICIT/DEFICIT</w:t>
            </w:r>
          </w:p>
        </w:tc>
      </w:tr>
    </w:tbl>
    <w:p w:rsidR="00CA1958" w:rsidRPr="005824CB" w:rsidRDefault="00CA1958">
      <w:pPr>
        <w:jc w:val="both"/>
        <w:rPr>
          <w:lang w:val="hr-HR"/>
        </w:rPr>
      </w:pPr>
    </w:p>
    <w:p w:rsidR="00CA1958" w:rsidRPr="005824CB" w:rsidRDefault="00CA1958">
      <w:pPr>
        <w:pStyle w:val="Uvuenotijeloteksta"/>
        <w:spacing w:line="240" w:lineRule="auto"/>
      </w:pPr>
      <w:r w:rsidRPr="005824CB">
        <w:t>Proračunom za 20</w:t>
      </w:r>
      <w:r w:rsidR="00302AD7">
        <w:t>2</w:t>
      </w:r>
      <w:r w:rsidR="00E87DB7">
        <w:t>1</w:t>
      </w:r>
      <w:r w:rsidRPr="005824CB">
        <w:t xml:space="preserve">. godinu planiran je </w:t>
      </w:r>
      <w:r w:rsidRPr="005824CB">
        <w:rPr>
          <w:b/>
        </w:rPr>
        <w:t>ukupan suficit</w:t>
      </w:r>
      <w:r w:rsidRPr="005824CB">
        <w:t xml:space="preserve"> u iznosu od </w:t>
      </w:r>
      <w:r w:rsidR="001F00ED">
        <w:rPr>
          <w:b/>
        </w:rPr>
        <w:t>521.330</w:t>
      </w:r>
      <w:r w:rsidRPr="005824CB">
        <w:t xml:space="preserve"> </w:t>
      </w:r>
      <w:r w:rsidRPr="005824CB">
        <w:rPr>
          <w:b/>
        </w:rPr>
        <w:t>KM</w:t>
      </w:r>
      <w:r w:rsidRPr="005824CB">
        <w:t>.</w:t>
      </w:r>
    </w:p>
    <w:p w:rsidR="00CA1958" w:rsidRPr="005824CB" w:rsidRDefault="00C74E2C">
      <w:pPr>
        <w:pStyle w:val="Uvuenotijeloteksta"/>
        <w:spacing w:line="240" w:lineRule="auto"/>
        <w:ind w:firstLine="0"/>
        <w:jc w:val="center"/>
      </w:pPr>
      <w:r w:rsidRPr="005824CB">
        <w:rPr>
          <w:noProof/>
          <w:lang w:eastAsia="hr-HR"/>
        </w:rPr>
        <w:lastRenderedPageBreak/>
        <w:drawing>
          <wp:inline distT="0" distB="0" distL="0" distR="0">
            <wp:extent cx="3780155" cy="2133600"/>
            <wp:effectExtent l="0" t="0" r="0" b="0"/>
            <wp:docPr id="5" name="Obj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1958" w:rsidRPr="005824CB" w:rsidRDefault="00CA1958">
      <w:pPr>
        <w:jc w:val="both"/>
        <w:rPr>
          <w:lang w:val="hr-HR"/>
        </w:rPr>
      </w:pPr>
    </w:p>
    <w:p w:rsidR="00AB370A" w:rsidRPr="005824CB" w:rsidRDefault="00AB370A">
      <w:pPr>
        <w:jc w:val="both"/>
        <w:rPr>
          <w:lang w:val="hr-HR"/>
        </w:rPr>
      </w:pPr>
    </w:p>
    <w:tbl>
      <w:tblPr>
        <w:tblW w:w="0" w:type="auto"/>
        <w:tblLook w:val="0000"/>
      </w:tblPr>
      <w:tblGrid>
        <w:gridCol w:w="828"/>
        <w:gridCol w:w="8771"/>
      </w:tblGrid>
      <w:tr w:rsidR="00CA1958" w:rsidRPr="005824CB">
        <w:tc>
          <w:tcPr>
            <w:tcW w:w="828" w:type="dxa"/>
            <w:shd w:val="clear" w:color="auto" w:fill="404040"/>
          </w:tcPr>
          <w:p w:rsidR="00CA1958" w:rsidRPr="005824CB" w:rsidRDefault="00CA1958">
            <w:pPr>
              <w:pStyle w:val="Naslov"/>
              <w:rPr>
                <w:color w:val="FFFFFF"/>
              </w:rPr>
            </w:pPr>
            <w:r w:rsidRPr="005824CB">
              <w:br w:type="page"/>
            </w:r>
            <w:r w:rsidRPr="005824CB">
              <w:rPr>
                <w:color w:val="FFFFFF"/>
              </w:rPr>
              <w:t>9.</w:t>
            </w:r>
          </w:p>
        </w:tc>
        <w:tc>
          <w:tcPr>
            <w:tcW w:w="8771" w:type="dxa"/>
          </w:tcPr>
          <w:p w:rsidR="00CA1958" w:rsidRPr="005824CB" w:rsidRDefault="00CA1958" w:rsidP="001F00ED">
            <w:pPr>
              <w:pStyle w:val="Naslov"/>
              <w:jc w:val="both"/>
            </w:pPr>
            <w:r w:rsidRPr="005824CB">
              <w:t>STRUKTURA PRORAČUNA ŽUPANIJE POSAVSKE ZA 20</w:t>
            </w:r>
            <w:r w:rsidR="00302AD7">
              <w:t>2</w:t>
            </w:r>
            <w:r w:rsidR="001F00ED">
              <w:t>1</w:t>
            </w:r>
            <w:r w:rsidRPr="005824CB">
              <w:t>. GODINU – NETO FINANCIRANJE</w:t>
            </w:r>
          </w:p>
        </w:tc>
      </w:tr>
    </w:tbl>
    <w:p w:rsidR="00CA1958" w:rsidRPr="005824CB" w:rsidRDefault="00CA1958">
      <w:pPr>
        <w:jc w:val="both"/>
        <w:rPr>
          <w:lang w:val="hr-HR"/>
        </w:rPr>
      </w:pPr>
    </w:p>
    <w:p w:rsidR="00CA1958" w:rsidRPr="005824CB" w:rsidRDefault="00CA1958">
      <w:pPr>
        <w:pStyle w:val="Uvuenotijeloteksta"/>
        <w:spacing w:line="240" w:lineRule="auto"/>
      </w:pPr>
      <w:r w:rsidRPr="005824CB">
        <w:t>Proračunom za 2</w:t>
      </w:r>
      <w:r w:rsidR="00302AD7">
        <w:t>02</w:t>
      </w:r>
      <w:r w:rsidR="001F00ED">
        <w:t>1</w:t>
      </w:r>
      <w:r w:rsidRPr="005824CB">
        <w:t xml:space="preserve">. godinu planirano </w:t>
      </w:r>
      <w:r w:rsidRPr="005824CB">
        <w:rPr>
          <w:b/>
        </w:rPr>
        <w:t>neto financiranje</w:t>
      </w:r>
      <w:r w:rsidRPr="005824CB">
        <w:t xml:space="preserve"> iznosi </w:t>
      </w:r>
      <w:r w:rsidRPr="005824CB">
        <w:rPr>
          <w:b/>
        </w:rPr>
        <w:t>-</w:t>
      </w:r>
      <w:r w:rsidR="001F00ED">
        <w:rPr>
          <w:b/>
        </w:rPr>
        <w:t>517.270</w:t>
      </w:r>
      <w:r w:rsidRPr="005824CB">
        <w:rPr>
          <w:b/>
        </w:rPr>
        <w:t xml:space="preserve"> KM</w:t>
      </w:r>
      <w:r w:rsidRPr="005824CB">
        <w:t>.</w:t>
      </w:r>
    </w:p>
    <w:p w:rsidR="00CA1958" w:rsidRPr="005824CB" w:rsidRDefault="00CA1958">
      <w:pPr>
        <w:pStyle w:val="Uvuenotijeloteksta"/>
        <w:spacing w:line="240" w:lineRule="auto"/>
      </w:pPr>
    </w:p>
    <w:p w:rsidR="00EA07B7" w:rsidRPr="005824CB" w:rsidRDefault="00EA07B7">
      <w:pPr>
        <w:pStyle w:val="Uvuenotijeloteksta"/>
        <w:spacing w:line="240" w:lineRule="auto"/>
      </w:pPr>
    </w:p>
    <w:p w:rsidR="00CA1958" w:rsidRPr="005824CB" w:rsidRDefault="00CA1958">
      <w:pPr>
        <w:pStyle w:val="Naslov3"/>
        <w:ind w:firstLine="720"/>
        <w:jc w:val="both"/>
      </w:pPr>
      <w:r w:rsidRPr="005824CB">
        <w:t xml:space="preserve">9.1.1   </w:t>
      </w:r>
      <w:r w:rsidRPr="005824CB">
        <w:tab/>
        <w:t>PRIMICI OD FINANCIJSKE IMOVINE I ZADUŽIVANJA</w:t>
      </w:r>
    </w:p>
    <w:p w:rsidR="00CA1958" w:rsidRPr="005824CB" w:rsidRDefault="00CA1958">
      <w:pPr>
        <w:rPr>
          <w:sz w:val="16"/>
          <w:szCs w:val="16"/>
          <w:lang w:val="hr-HR"/>
        </w:rPr>
      </w:pPr>
    </w:p>
    <w:p w:rsidR="00CA1958" w:rsidRPr="005824CB" w:rsidRDefault="00CA1958">
      <w:pPr>
        <w:pStyle w:val="Tijeloteksta"/>
      </w:pPr>
      <w:r w:rsidRPr="005824CB">
        <w:tab/>
        <w:t>Primici od financijske imovine i zaduživanja (kategorija 813000, 814000 i 815000) nisu</w:t>
      </w:r>
      <w:r w:rsidR="00302AD7">
        <w:t xml:space="preserve"> planirani u 202</w:t>
      </w:r>
      <w:r w:rsidR="001F00ED">
        <w:t>1</w:t>
      </w:r>
      <w:r w:rsidRPr="005824CB">
        <w:t>. godini.</w:t>
      </w:r>
    </w:p>
    <w:p w:rsidR="00CA1958" w:rsidRPr="005824CB" w:rsidRDefault="00CA1958">
      <w:pPr>
        <w:autoSpaceDE w:val="0"/>
        <w:autoSpaceDN w:val="0"/>
        <w:adjustRightInd w:val="0"/>
        <w:jc w:val="both"/>
        <w:rPr>
          <w:lang w:val="hr-HR"/>
        </w:rPr>
      </w:pPr>
    </w:p>
    <w:p w:rsidR="00EA07B7" w:rsidRPr="005824CB" w:rsidRDefault="00EA07B7">
      <w:pPr>
        <w:autoSpaceDE w:val="0"/>
        <w:autoSpaceDN w:val="0"/>
        <w:adjustRightInd w:val="0"/>
        <w:jc w:val="both"/>
        <w:rPr>
          <w:lang w:val="hr-HR"/>
        </w:rPr>
      </w:pPr>
    </w:p>
    <w:p w:rsidR="00CA1958" w:rsidRPr="005824CB" w:rsidRDefault="00CA1958">
      <w:pPr>
        <w:pStyle w:val="Naslov3"/>
        <w:ind w:firstLine="720"/>
        <w:jc w:val="both"/>
      </w:pPr>
      <w:r w:rsidRPr="005824CB">
        <w:t xml:space="preserve">9.1.2   </w:t>
      </w:r>
      <w:r w:rsidRPr="005824CB">
        <w:tab/>
        <w:t>IZDACI ZA NABAVKU FINANCIJSKE IMOVINE I OTPLATE DUGOVA</w:t>
      </w:r>
    </w:p>
    <w:p w:rsidR="00CA1958" w:rsidRPr="005824CB" w:rsidRDefault="00CA1958">
      <w:pPr>
        <w:jc w:val="both"/>
        <w:rPr>
          <w:b/>
          <w:bCs/>
          <w:sz w:val="28"/>
          <w:lang w:val="hr-HR"/>
        </w:rPr>
      </w:pPr>
    </w:p>
    <w:p w:rsidR="00CA1958" w:rsidRPr="005824CB" w:rsidRDefault="00CA1958">
      <w:pPr>
        <w:pStyle w:val="Tijeloteksta"/>
        <w:ind w:firstLine="720"/>
      </w:pPr>
      <w:r w:rsidRPr="005824CB">
        <w:t xml:space="preserve">Izdaci za otplate dugova (potkategorija 823000) planirani su u iznosu od </w:t>
      </w:r>
      <w:r w:rsidR="001F00ED">
        <w:t>517</w:t>
      </w:r>
      <w:r w:rsidR="00E11959">
        <w:t>.</w:t>
      </w:r>
      <w:r w:rsidR="001F00ED">
        <w:t>27</w:t>
      </w:r>
      <w:r w:rsidR="00E11959">
        <w:t>0</w:t>
      </w:r>
      <w:r w:rsidRPr="005824CB">
        <w:t xml:space="preserve"> KM i odnose se na otplate domaćeg pozajmljivanja za otplatu glavnice:</w:t>
      </w:r>
    </w:p>
    <w:p w:rsidR="00153B75" w:rsidRPr="005824CB" w:rsidRDefault="00153B75" w:rsidP="00D63FFB">
      <w:pPr>
        <w:numPr>
          <w:ilvl w:val="0"/>
          <w:numId w:val="1"/>
        </w:numPr>
        <w:jc w:val="both"/>
        <w:rPr>
          <w:lang w:val="hr-HR"/>
        </w:rPr>
      </w:pPr>
      <w:r w:rsidRPr="005824CB">
        <w:rPr>
          <w:szCs w:val="22"/>
          <w:lang w:val="hr-HR"/>
        </w:rPr>
        <w:t xml:space="preserve">kredita </w:t>
      </w:r>
      <w:proofErr w:type="spellStart"/>
      <w:r w:rsidRPr="005824CB">
        <w:rPr>
          <w:szCs w:val="22"/>
          <w:lang w:val="hr-HR"/>
        </w:rPr>
        <w:t>Export</w:t>
      </w:r>
      <w:proofErr w:type="spellEnd"/>
      <w:r w:rsidRPr="005824CB">
        <w:rPr>
          <w:szCs w:val="22"/>
          <w:lang w:val="hr-HR"/>
        </w:rPr>
        <w:t xml:space="preserve">-Import banke Republike Koreje za financiranje Faze II Projekta "Modernizacija bolnica u Bosni i Hercegovini" u iznosu od </w:t>
      </w:r>
      <w:r w:rsidR="001F00ED">
        <w:rPr>
          <w:szCs w:val="22"/>
          <w:lang w:val="hr-HR"/>
        </w:rPr>
        <w:t>86.980</w:t>
      </w:r>
      <w:r w:rsidRPr="005824CB">
        <w:rPr>
          <w:szCs w:val="22"/>
          <w:lang w:val="hr-HR"/>
        </w:rPr>
        <w:t xml:space="preserve"> KM, i</w:t>
      </w:r>
    </w:p>
    <w:p w:rsidR="00153B75" w:rsidRPr="005824CB" w:rsidRDefault="00153B75" w:rsidP="00D63FFB">
      <w:pPr>
        <w:numPr>
          <w:ilvl w:val="0"/>
          <w:numId w:val="1"/>
        </w:numPr>
        <w:jc w:val="both"/>
        <w:rPr>
          <w:lang w:val="hr-HR"/>
        </w:rPr>
      </w:pPr>
      <w:r w:rsidRPr="005824CB">
        <w:rPr>
          <w:szCs w:val="22"/>
          <w:lang w:val="hr-HR"/>
        </w:rPr>
        <w:t xml:space="preserve">kredita </w:t>
      </w:r>
      <w:proofErr w:type="spellStart"/>
      <w:r w:rsidRPr="005824CB">
        <w:rPr>
          <w:szCs w:val="22"/>
          <w:lang w:val="hr-HR"/>
        </w:rPr>
        <w:t>UniCredit</w:t>
      </w:r>
      <w:proofErr w:type="spellEnd"/>
      <w:r w:rsidRPr="005824CB">
        <w:rPr>
          <w:szCs w:val="22"/>
          <w:lang w:val="hr-HR"/>
        </w:rPr>
        <w:t xml:space="preserve"> bank </w:t>
      </w:r>
      <w:proofErr w:type="spellStart"/>
      <w:r w:rsidRPr="005824CB">
        <w:rPr>
          <w:szCs w:val="22"/>
          <w:lang w:val="hr-HR"/>
        </w:rPr>
        <w:t>Austria</w:t>
      </w:r>
      <w:proofErr w:type="spellEnd"/>
      <w:r w:rsidRPr="005824CB">
        <w:rPr>
          <w:szCs w:val="22"/>
          <w:lang w:val="hr-HR"/>
        </w:rPr>
        <w:t xml:space="preserve"> AG za financiranje projekta nabave, instalacije, obuke i održavanja medicinske i nemedicinske opreme i usluga u Županijskoj bolnici Orašje u iznosu od 430.</w:t>
      </w:r>
      <w:r w:rsidR="006F2C4D" w:rsidRPr="005824CB">
        <w:rPr>
          <w:szCs w:val="22"/>
          <w:lang w:val="hr-HR"/>
        </w:rPr>
        <w:t>290</w:t>
      </w:r>
      <w:r w:rsidRPr="005824CB">
        <w:rPr>
          <w:szCs w:val="22"/>
          <w:lang w:val="hr-HR"/>
        </w:rPr>
        <w:t xml:space="preserve"> KM.</w:t>
      </w:r>
    </w:p>
    <w:p w:rsidR="00CA1958" w:rsidRPr="005824CB" w:rsidRDefault="00C74E2C">
      <w:pPr>
        <w:pStyle w:val="Uvuenotijeloteksta"/>
        <w:spacing w:line="240" w:lineRule="auto"/>
        <w:ind w:firstLine="0"/>
        <w:jc w:val="center"/>
      </w:pPr>
      <w:r w:rsidRPr="005824CB">
        <w:rPr>
          <w:noProof/>
          <w:lang w:eastAsia="hr-HR"/>
        </w:rPr>
        <w:drawing>
          <wp:inline distT="0" distB="0" distL="0" distR="0">
            <wp:extent cx="3780155" cy="2133600"/>
            <wp:effectExtent l="0" t="0" r="0" b="0"/>
            <wp:docPr id="6"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07B7" w:rsidRPr="005824CB" w:rsidRDefault="00EA07B7">
      <w:pPr>
        <w:ind w:firstLine="720"/>
        <w:jc w:val="both"/>
        <w:rPr>
          <w:lang w:val="hr-HR"/>
        </w:rPr>
      </w:pPr>
    </w:p>
    <w:p w:rsidR="00EA07B7" w:rsidRPr="005824CB" w:rsidRDefault="00EA07B7">
      <w:pPr>
        <w:ind w:firstLine="720"/>
        <w:jc w:val="both"/>
        <w:rPr>
          <w:lang w:val="hr-HR"/>
        </w:rPr>
      </w:pPr>
    </w:p>
    <w:p w:rsidR="00CA1958" w:rsidRPr="005824CB" w:rsidRDefault="00CA1958">
      <w:pPr>
        <w:ind w:firstLine="720"/>
        <w:jc w:val="both"/>
        <w:rPr>
          <w:lang w:val="hr-HR"/>
        </w:rPr>
      </w:pPr>
      <w:r w:rsidRPr="005824CB">
        <w:rPr>
          <w:lang w:val="hr-HR"/>
        </w:rPr>
        <w:t>Sukladno otplatnim planovima postojećih kredita ukupno stanje duga Županije Posavske (glavnica i kamate) pojedinačno po kred</w:t>
      </w:r>
      <w:r w:rsidR="001F00ED">
        <w:rPr>
          <w:lang w:val="hr-HR"/>
        </w:rPr>
        <w:t>itima te ukupno na dan 31.12.2020</w:t>
      </w:r>
      <w:r w:rsidRPr="005824CB">
        <w:rPr>
          <w:lang w:val="hr-HR"/>
        </w:rPr>
        <w:t>. godine će iznositi:</w:t>
      </w:r>
    </w:p>
    <w:p w:rsidR="00CA1958" w:rsidRPr="005824CB" w:rsidRDefault="00CA1958">
      <w:pPr>
        <w:jc w:val="both"/>
        <w:rPr>
          <w:sz w:val="12"/>
          <w:lang w:val="hr-HR"/>
        </w:rPr>
      </w:pPr>
    </w:p>
    <w:p w:rsidR="00CA1958" w:rsidRPr="001F00ED" w:rsidRDefault="00E11959">
      <w:pPr>
        <w:ind w:left="720" w:hanging="720"/>
        <w:jc w:val="both"/>
        <w:rPr>
          <w:szCs w:val="20"/>
          <w:lang w:val="hr-HR"/>
        </w:rPr>
      </w:pPr>
      <w:r w:rsidRPr="001F00ED">
        <w:rPr>
          <w:lang w:val="hr-HR"/>
        </w:rPr>
        <w:lastRenderedPageBreak/>
        <w:t>1</w:t>
      </w:r>
      <w:r w:rsidR="00CA1958" w:rsidRPr="001F00ED">
        <w:rPr>
          <w:lang w:val="hr-HR"/>
        </w:rPr>
        <w:t xml:space="preserve">). </w:t>
      </w:r>
      <w:r w:rsidR="00CA1958" w:rsidRPr="001F00ED">
        <w:rPr>
          <w:lang w:val="hr-HR"/>
        </w:rPr>
        <w:tab/>
        <w:t xml:space="preserve">Kredit: </w:t>
      </w:r>
      <w:proofErr w:type="spellStart"/>
      <w:r w:rsidR="00CA1958" w:rsidRPr="001F00ED">
        <w:rPr>
          <w:lang w:val="hr-HR"/>
        </w:rPr>
        <w:t>UniCredit</w:t>
      </w:r>
      <w:proofErr w:type="spellEnd"/>
      <w:r w:rsidR="00CA1958" w:rsidRPr="001F00ED">
        <w:rPr>
          <w:lang w:val="hr-HR"/>
        </w:rPr>
        <w:t xml:space="preserve"> Bank </w:t>
      </w:r>
      <w:proofErr w:type="spellStart"/>
      <w:r w:rsidR="00CA1958" w:rsidRPr="001F00ED">
        <w:rPr>
          <w:lang w:val="hr-HR"/>
        </w:rPr>
        <w:t>Austria</w:t>
      </w:r>
      <w:proofErr w:type="spellEnd"/>
      <w:r w:rsidR="00CA1958" w:rsidRPr="001F00ED">
        <w:rPr>
          <w:lang w:val="hr-HR"/>
        </w:rPr>
        <w:t xml:space="preserve"> AG - </w:t>
      </w:r>
      <w:r w:rsidR="00CA1958" w:rsidRPr="001F00ED">
        <w:rPr>
          <w:szCs w:val="20"/>
          <w:lang w:val="hr-HR"/>
        </w:rPr>
        <w:t>Podugovor o kreditu za Projekt nabavke, obuke i održavanja medicinske i nemedicinske opreme i usluga u Kantonalnoj bolnici Orašje</w:t>
      </w:r>
    </w:p>
    <w:p w:rsidR="00CA1958" w:rsidRPr="001F00ED" w:rsidRDefault="00CA1958">
      <w:pPr>
        <w:ind w:firstLine="720"/>
        <w:jc w:val="both"/>
        <w:rPr>
          <w:szCs w:val="20"/>
          <w:lang w:val="hr-HR"/>
        </w:rPr>
      </w:pPr>
      <w:r w:rsidRPr="001F00ED">
        <w:rPr>
          <w:szCs w:val="20"/>
          <w:lang w:val="hr-HR"/>
        </w:rPr>
        <w:t xml:space="preserve">Iznos kredita u originalnoj valuti: 1.980.000,00 EUR </w:t>
      </w:r>
    </w:p>
    <w:p w:rsidR="00CA1958" w:rsidRPr="001F00ED" w:rsidRDefault="00CA1958">
      <w:pPr>
        <w:ind w:firstLine="720"/>
        <w:jc w:val="both"/>
        <w:rPr>
          <w:szCs w:val="20"/>
          <w:lang w:val="hr-HR"/>
        </w:rPr>
      </w:pPr>
      <w:r w:rsidRPr="001F00ED">
        <w:rPr>
          <w:szCs w:val="20"/>
          <w:lang w:val="hr-HR"/>
        </w:rPr>
        <w:t>OEKB marža: 1,175% godišnje</w:t>
      </w:r>
    </w:p>
    <w:p w:rsidR="00CA1958" w:rsidRPr="001F00ED" w:rsidRDefault="00CA1958">
      <w:pPr>
        <w:ind w:firstLine="720"/>
        <w:jc w:val="both"/>
        <w:rPr>
          <w:szCs w:val="20"/>
          <w:lang w:val="hr-HR"/>
        </w:rPr>
      </w:pPr>
      <w:r w:rsidRPr="001F00ED">
        <w:rPr>
          <w:szCs w:val="20"/>
          <w:lang w:val="hr-HR"/>
        </w:rPr>
        <w:t>Otplata: polugodišnje</w:t>
      </w:r>
    </w:p>
    <w:p w:rsidR="00CA1958" w:rsidRPr="001F00ED" w:rsidRDefault="00CA1958">
      <w:pPr>
        <w:ind w:left="720"/>
        <w:jc w:val="both"/>
        <w:rPr>
          <w:szCs w:val="20"/>
          <w:lang w:val="hr-HR"/>
        </w:rPr>
      </w:pPr>
      <w:r w:rsidRPr="001F00ED">
        <w:rPr>
          <w:szCs w:val="20"/>
          <w:lang w:val="hr-HR"/>
        </w:rPr>
        <w:t>Razdoblje otplate: glavnica 31.07.2016.-31.07.2024.g. (</w:t>
      </w:r>
      <w:proofErr w:type="spellStart"/>
      <w:r w:rsidRPr="001F00ED">
        <w:rPr>
          <w:szCs w:val="20"/>
          <w:lang w:val="hr-HR"/>
        </w:rPr>
        <w:t>reprogram</w:t>
      </w:r>
      <w:proofErr w:type="spellEnd"/>
      <w:r w:rsidRPr="001F00ED">
        <w:rPr>
          <w:szCs w:val="20"/>
          <w:lang w:val="hr-HR"/>
        </w:rPr>
        <w:t>: 28.02.2018.-28.08.2026.g.), kamate 30.02.2012-30.09.2024.g.</w:t>
      </w:r>
    </w:p>
    <w:p w:rsidR="00CA1958" w:rsidRPr="00922519" w:rsidRDefault="00CA1958">
      <w:pPr>
        <w:ind w:left="720"/>
        <w:jc w:val="both"/>
        <w:rPr>
          <w:szCs w:val="20"/>
          <w:lang w:val="hr-HR"/>
        </w:rPr>
      </w:pPr>
      <w:r w:rsidRPr="00922519">
        <w:rPr>
          <w:szCs w:val="20"/>
          <w:lang w:val="hr-HR"/>
        </w:rPr>
        <w:t xml:space="preserve">Stanje duga u </w:t>
      </w:r>
      <w:r w:rsidR="006F2C4D" w:rsidRPr="00922519">
        <w:rPr>
          <w:szCs w:val="20"/>
          <w:lang w:val="hr-HR"/>
        </w:rPr>
        <w:t>originalnoj valuti</w:t>
      </w:r>
      <w:r w:rsidRPr="00922519">
        <w:rPr>
          <w:szCs w:val="20"/>
          <w:lang w:val="hr-HR"/>
        </w:rPr>
        <w:t xml:space="preserve"> (na dan 31.12.20</w:t>
      </w:r>
      <w:r w:rsidR="001F00ED" w:rsidRPr="00922519">
        <w:rPr>
          <w:szCs w:val="20"/>
          <w:lang w:val="hr-HR"/>
        </w:rPr>
        <w:t>20</w:t>
      </w:r>
      <w:r w:rsidRPr="00922519">
        <w:rPr>
          <w:szCs w:val="20"/>
          <w:lang w:val="hr-HR"/>
        </w:rPr>
        <w:t xml:space="preserve">.g.): </w:t>
      </w:r>
      <w:r w:rsidR="006F2C4D" w:rsidRPr="00922519">
        <w:rPr>
          <w:szCs w:val="20"/>
          <w:lang w:val="hr-HR"/>
        </w:rPr>
        <w:t>1.</w:t>
      </w:r>
      <w:r w:rsidR="00922519">
        <w:rPr>
          <w:szCs w:val="20"/>
          <w:lang w:val="hr-HR"/>
        </w:rPr>
        <w:t>340</w:t>
      </w:r>
      <w:r w:rsidR="006F2C4D" w:rsidRPr="00922519">
        <w:rPr>
          <w:szCs w:val="20"/>
          <w:lang w:val="hr-HR"/>
        </w:rPr>
        <w:t>.</w:t>
      </w:r>
      <w:r w:rsidR="00922519">
        <w:rPr>
          <w:szCs w:val="20"/>
          <w:lang w:val="hr-HR"/>
        </w:rPr>
        <w:t>317,47</w:t>
      </w:r>
      <w:r w:rsidR="005824CB" w:rsidRPr="00922519">
        <w:rPr>
          <w:szCs w:val="20"/>
          <w:lang w:val="hr-HR"/>
        </w:rPr>
        <w:t>€</w:t>
      </w:r>
      <w:r w:rsidRPr="00922519">
        <w:rPr>
          <w:szCs w:val="20"/>
          <w:lang w:val="hr-HR"/>
        </w:rPr>
        <w:t xml:space="preserve"> (glavnica: </w:t>
      </w:r>
      <w:r w:rsidR="006F2C4D" w:rsidRPr="00922519">
        <w:rPr>
          <w:szCs w:val="20"/>
          <w:lang w:val="hr-HR"/>
        </w:rPr>
        <w:t>1.</w:t>
      </w:r>
      <w:r w:rsidR="00922519">
        <w:rPr>
          <w:szCs w:val="20"/>
          <w:lang w:val="hr-HR"/>
        </w:rPr>
        <w:t>32</w:t>
      </w:r>
      <w:r w:rsidR="006F2C4D" w:rsidRPr="00922519">
        <w:rPr>
          <w:szCs w:val="20"/>
          <w:lang w:val="hr-HR"/>
        </w:rPr>
        <w:t>0.000€</w:t>
      </w:r>
      <w:r w:rsidRPr="00922519">
        <w:rPr>
          <w:szCs w:val="20"/>
          <w:lang w:val="hr-HR"/>
        </w:rPr>
        <w:t xml:space="preserve">, OEKB marža: </w:t>
      </w:r>
      <w:r w:rsidR="00922519">
        <w:rPr>
          <w:szCs w:val="20"/>
          <w:lang w:val="hr-HR"/>
        </w:rPr>
        <w:t>20.317,47</w:t>
      </w:r>
      <w:r w:rsidR="006F2C4D" w:rsidRPr="00922519">
        <w:rPr>
          <w:szCs w:val="20"/>
          <w:lang w:val="hr-HR"/>
        </w:rPr>
        <w:t>€</w:t>
      </w:r>
      <w:r w:rsidRPr="00922519">
        <w:rPr>
          <w:szCs w:val="20"/>
          <w:lang w:val="hr-HR"/>
        </w:rPr>
        <w:t>)</w:t>
      </w:r>
    </w:p>
    <w:p w:rsidR="00CA1958" w:rsidRPr="001F00ED" w:rsidRDefault="00CA1958">
      <w:pPr>
        <w:ind w:left="720"/>
        <w:jc w:val="both"/>
        <w:rPr>
          <w:sz w:val="12"/>
          <w:szCs w:val="20"/>
          <w:highlight w:val="yellow"/>
          <w:lang w:val="hr-HR"/>
        </w:rPr>
      </w:pPr>
    </w:p>
    <w:p w:rsidR="00CA1958" w:rsidRPr="001F00ED" w:rsidRDefault="00E11959">
      <w:pPr>
        <w:ind w:left="720" w:hanging="720"/>
        <w:jc w:val="both"/>
        <w:rPr>
          <w:szCs w:val="20"/>
          <w:lang w:val="hr-HR"/>
        </w:rPr>
      </w:pPr>
      <w:r w:rsidRPr="001F00ED">
        <w:rPr>
          <w:lang w:val="hr-HR"/>
        </w:rPr>
        <w:t>2</w:t>
      </w:r>
      <w:r w:rsidR="00CA1958" w:rsidRPr="001F00ED">
        <w:rPr>
          <w:lang w:val="hr-HR"/>
        </w:rPr>
        <w:t xml:space="preserve">). </w:t>
      </w:r>
      <w:r w:rsidR="00CA1958" w:rsidRPr="001F00ED">
        <w:rPr>
          <w:lang w:val="hr-HR"/>
        </w:rPr>
        <w:tab/>
        <w:t xml:space="preserve">Kredit: </w:t>
      </w:r>
      <w:proofErr w:type="spellStart"/>
      <w:r w:rsidR="00CA1958" w:rsidRPr="001F00ED">
        <w:rPr>
          <w:lang w:val="hr-HR"/>
        </w:rPr>
        <w:t>Export</w:t>
      </w:r>
      <w:proofErr w:type="spellEnd"/>
      <w:r w:rsidR="00CA1958" w:rsidRPr="001F00ED">
        <w:rPr>
          <w:lang w:val="hr-HR"/>
        </w:rPr>
        <w:t xml:space="preserve">-Import Banka Koreja/EDCF - </w:t>
      </w:r>
      <w:r w:rsidR="00CA1958" w:rsidRPr="001F00ED">
        <w:rPr>
          <w:szCs w:val="20"/>
          <w:lang w:val="hr-HR"/>
        </w:rPr>
        <w:t>Podugovor o zajmu za Projekt Modernizacija bolnica u Bosni i Hercegovini - Faza II</w:t>
      </w:r>
    </w:p>
    <w:p w:rsidR="00CA1958" w:rsidRPr="001F00ED" w:rsidRDefault="00CA1958">
      <w:pPr>
        <w:ind w:left="720"/>
        <w:jc w:val="both"/>
        <w:rPr>
          <w:szCs w:val="20"/>
          <w:lang w:val="hr-HR"/>
        </w:rPr>
      </w:pPr>
      <w:r w:rsidRPr="001F00ED">
        <w:rPr>
          <w:szCs w:val="20"/>
          <w:lang w:val="hr-HR"/>
        </w:rPr>
        <w:t xml:space="preserve">Iznos kredita u originalnoj valuti: 1.003.882.879,00 KRW (korejskih </w:t>
      </w:r>
      <w:proofErr w:type="spellStart"/>
      <w:r w:rsidRPr="001F00ED">
        <w:rPr>
          <w:szCs w:val="20"/>
          <w:lang w:val="hr-HR"/>
        </w:rPr>
        <w:t>wona</w:t>
      </w:r>
      <w:proofErr w:type="spellEnd"/>
      <w:r w:rsidRPr="001F00ED">
        <w:rPr>
          <w:szCs w:val="20"/>
          <w:lang w:val="hr-HR"/>
        </w:rPr>
        <w:t xml:space="preserve">) izraženo u USD 880.886,16 (na dan zaključenja ugovora) </w:t>
      </w:r>
    </w:p>
    <w:p w:rsidR="00CA1958" w:rsidRPr="001F00ED" w:rsidRDefault="00CA1958">
      <w:pPr>
        <w:ind w:firstLine="720"/>
        <w:jc w:val="both"/>
        <w:rPr>
          <w:szCs w:val="20"/>
          <w:lang w:val="hr-HR"/>
        </w:rPr>
      </w:pPr>
      <w:r w:rsidRPr="001F00ED">
        <w:rPr>
          <w:szCs w:val="20"/>
          <w:lang w:val="hr-HR"/>
        </w:rPr>
        <w:t>Kamatna stopa: 1,50% godišnje</w:t>
      </w:r>
    </w:p>
    <w:p w:rsidR="00CA1958" w:rsidRPr="001F00ED" w:rsidRDefault="00CA1958">
      <w:pPr>
        <w:ind w:firstLine="720"/>
        <w:jc w:val="both"/>
        <w:rPr>
          <w:szCs w:val="20"/>
          <w:lang w:val="hr-HR"/>
        </w:rPr>
      </w:pPr>
      <w:r w:rsidRPr="001F00ED">
        <w:rPr>
          <w:szCs w:val="20"/>
          <w:lang w:val="hr-HR"/>
        </w:rPr>
        <w:t>Otplata: polugodišnje</w:t>
      </w:r>
    </w:p>
    <w:p w:rsidR="00CA1958" w:rsidRPr="001F00ED" w:rsidRDefault="00CA1958">
      <w:pPr>
        <w:ind w:left="720"/>
        <w:jc w:val="both"/>
        <w:rPr>
          <w:szCs w:val="20"/>
          <w:lang w:val="hr-HR"/>
        </w:rPr>
      </w:pPr>
      <w:r w:rsidRPr="001F00ED">
        <w:rPr>
          <w:szCs w:val="20"/>
          <w:lang w:val="hr-HR"/>
        </w:rPr>
        <w:t>Razdoblje otplate: glavnica 20.10.2014.-20.04.2031.g. (</w:t>
      </w:r>
      <w:proofErr w:type="spellStart"/>
      <w:r w:rsidRPr="001F00ED">
        <w:rPr>
          <w:szCs w:val="20"/>
          <w:lang w:val="hr-HR"/>
        </w:rPr>
        <w:t>reprogram</w:t>
      </w:r>
      <w:proofErr w:type="spellEnd"/>
      <w:r w:rsidRPr="001F00ED">
        <w:rPr>
          <w:szCs w:val="20"/>
          <w:lang w:val="hr-HR"/>
        </w:rPr>
        <w:t>: 15.04.2018.-15.10.2034.g.), kamate 20.04.2010.-20.04.2031.g.</w:t>
      </w:r>
    </w:p>
    <w:p w:rsidR="00CA1958" w:rsidRPr="005824CB" w:rsidRDefault="00CA1958">
      <w:pPr>
        <w:ind w:left="720"/>
        <w:jc w:val="both"/>
        <w:rPr>
          <w:szCs w:val="20"/>
          <w:lang w:val="hr-HR"/>
        </w:rPr>
      </w:pPr>
      <w:r w:rsidRPr="00922519">
        <w:rPr>
          <w:szCs w:val="20"/>
          <w:lang w:val="hr-HR"/>
        </w:rPr>
        <w:t xml:space="preserve">Stanje duga u </w:t>
      </w:r>
      <w:r w:rsidR="002B2162" w:rsidRPr="00922519">
        <w:rPr>
          <w:szCs w:val="20"/>
          <w:lang w:val="hr-HR"/>
        </w:rPr>
        <w:t>originalnoj valuti</w:t>
      </w:r>
      <w:r w:rsidRPr="00922519">
        <w:rPr>
          <w:szCs w:val="20"/>
          <w:lang w:val="hr-HR"/>
        </w:rPr>
        <w:t xml:space="preserve"> (na dan 31.12.20</w:t>
      </w:r>
      <w:r w:rsidR="001F00ED" w:rsidRPr="00922519">
        <w:rPr>
          <w:szCs w:val="20"/>
          <w:lang w:val="hr-HR"/>
        </w:rPr>
        <w:t>20</w:t>
      </w:r>
      <w:r w:rsidRPr="00922519">
        <w:rPr>
          <w:szCs w:val="20"/>
          <w:lang w:val="hr-HR"/>
        </w:rPr>
        <w:t xml:space="preserve">.g.): </w:t>
      </w:r>
      <w:r w:rsidR="00922519">
        <w:rPr>
          <w:szCs w:val="20"/>
          <w:lang w:val="hr-HR"/>
        </w:rPr>
        <w:t>916</w:t>
      </w:r>
      <w:r w:rsidR="00EA07B7" w:rsidRPr="00922519">
        <w:rPr>
          <w:szCs w:val="20"/>
          <w:lang w:val="hr-HR"/>
        </w:rPr>
        <w:t>.</w:t>
      </w:r>
      <w:r w:rsidR="00922519">
        <w:rPr>
          <w:szCs w:val="20"/>
          <w:lang w:val="hr-HR"/>
        </w:rPr>
        <w:t>676.115</w:t>
      </w:r>
      <w:r w:rsidR="00EA07B7" w:rsidRPr="00922519">
        <w:rPr>
          <w:szCs w:val="20"/>
          <w:lang w:val="hr-HR"/>
        </w:rPr>
        <w:t>,</w:t>
      </w:r>
      <w:r w:rsidR="00922519">
        <w:rPr>
          <w:szCs w:val="20"/>
          <w:lang w:val="hr-HR"/>
        </w:rPr>
        <w:t>30</w:t>
      </w:r>
      <w:r w:rsidR="002B2162" w:rsidRPr="00922519">
        <w:rPr>
          <w:szCs w:val="20"/>
          <w:lang w:val="hr-HR"/>
        </w:rPr>
        <w:t xml:space="preserve"> KRW</w:t>
      </w:r>
      <w:r w:rsidRPr="00922519">
        <w:rPr>
          <w:szCs w:val="20"/>
          <w:lang w:val="hr-HR"/>
        </w:rPr>
        <w:t xml:space="preserve"> (glavnica: </w:t>
      </w:r>
      <w:r w:rsidR="00922519">
        <w:rPr>
          <w:szCs w:val="20"/>
          <w:lang w:val="hr-HR"/>
        </w:rPr>
        <w:t>826.727.076,84</w:t>
      </w:r>
      <w:r w:rsidR="002B2162" w:rsidRPr="00922519">
        <w:rPr>
          <w:szCs w:val="20"/>
          <w:lang w:val="hr-HR"/>
        </w:rPr>
        <w:t xml:space="preserve"> KRW</w:t>
      </w:r>
      <w:r w:rsidRPr="00922519">
        <w:rPr>
          <w:szCs w:val="20"/>
          <w:lang w:val="hr-HR"/>
        </w:rPr>
        <w:t xml:space="preserve">, kamata: </w:t>
      </w:r>
      <w:r w:rsidR="00922519">
        <w:rPr>
          <w:szCs w:val="20"/>
          <w:lang w:val="hr-HR"/>
        </w:rPr>
        <w:t>89.949.038,46</w:t>
      </w:r>
      <w:r w:rsidR="002B2162" w:rsidRPr="00922519">
        <w:rPr>
          <w:szCs w:val="20"/>
          <w:lang w:val="hr-HR"/>
        </w:rPr>
        <w:t xml:space="preserve"> KRW</w:t>
      </w:r>
      <w:r w:rsidR="00D61D5C" w:rsidRPr="00922519">
        <w:rPr>
          <w:szCs w:val="20"/>
          <w:lang w:val="hr-HR"/>
        </w:rPr>
        <w:t xml:space="preserve">) – napomena: kretanje tečaja korejski </w:t>
      </w:r>
      <w:proofErr w:type="spellStart"/>
      <w:r w:rsidR="00D61D5C" w:rsidRPr="00922519">
        <w:rPr>
          <w:szCs w:val="20"/>
          <w:lang w:val="hr-HR"/>
        </w:rPr>
        <w:t>won</w:t>
      </w:r>
      <w:proofErr w:type="spellEnd"/>
      <w:r w:rsidR="00D61D5C" w:rsidRPr="00922519">
        <w:rPr>
          <w:szCs w:val="20"/>
          <w:lang w:val="hr-HR"/>
        </w:rPr>
        <w:t>-američki dolar-konvertibilna marka je promjenjivo.</w:t>
      </w:r>
    </w:p>
    <w:p w:rsidR="00B30FCF" w:rsidRPr="005824CB" w:rsidRDefault="00B30FCF">
      <w:pPr>
        <w:jc w:val="both"/>
        <w:rPr>
          <w:sz w:val="18"/>
          <w:szCs w:val="18"/>
          <w:lang w:val="hr-HR"/>
        </w:rPr>
      </w:pPr>
    </w:p>
    <w:p w:rsidR="00CA1958" w:rsidRPr="005824CB" w:rsidRDefault="00CA1958">
      <w:pPr>
        <w:pStyle w:val="Uvuenotijeloteksta"/>
        <w:spacing w:line="240" w:lineRule="auto"/>
        <w:ind w:firstLine="0"/>
      </w:pPr>
    </w:p>
    <w:p w:rsidR="00CA1958" w:rsidRPr="005824CB" w:rsidRDefault="00CA1958">
      <w:pPr>
        <w:pStyle w:val="Uvuenotijeloteksta"/>
        <w:spacing w:line="240" w:lineRule="auto"/>
        <w:ind w:firstLine="0"/>
      </w:pPr>
    </w:p>
    <w:tbl>
      <w:tblPr>
        <w:tblW w:w="0" w:type="auto"/>
        <w:tblLook w:val="0000"/>
      </w:tblPr>
      <w:tblGrid>
        <w:gridCol w:w="828"/>
        <w:gridCol w:w="8771"/>
      </w:tblGrid>
      <w:tr w:rsidR="00CA1958" w:rsidRPr="005824CB">
        <w:tc>
          <w:tcPr>
            <w:tcW w:w="828" w:type="dxa"/>
            <w:shd w:val="clear" w:color="auto" w:fill="404040"/>
          </w:tcPr>
          <w:p w:rsidR="00CA1958" w:rsidRPr="005824CB" w:rsidRDefault="00CA1958">
            <w:pPr>
              <w:pStyle w:val="Naslov"/>
              <w:rPr>
                <w:color w:val="FFFFFF"/>
              </w:rPr>
            </w:pPr>
            <w:r w:rsidRPr="005824CB">
              <w:br w:type="page"/>
            </w:r>
            <w:r w:rsidRPr="005824CB">
              <w:rPr>
                <w:color w:val="FFFFFF"/>
              </w:rPr>
              <w:t>10.</w:t>
            </w:r>
          </w:p>
        </w:tc>
        <w:tc>
          <w:tcPr>
            <w:tcW w:w="8771" w:type="dxa"/>
          </w:tcPr>
          <w:p w:rsidR="00CA1958" w:rsidRPr="005824CB" w:rsidRDefault="00CA1958" w:rsidP="001F00ED">
            <w:pPr>
              <w:pStyle w:val="Naslov"/>
              <w:jc w:val="both"/>
            </w:pPr>
            <w:r w:rsidRPr="005824CB">
              <w:t>STRUKTURA PRORAČUNA ŽUPANIJE POSAVSKE ZA 20</w:t>
            </w:r>
            <w:r w:rsidR="00E11959">
              <w:t>2</w:t>
            </w:r>
            <w:r w:rsidR="001F00ED">
              <w:t>1</w:t>
            </w:r>
            <w:r w:rsidRPr="005824CB">
              <w:t>. GODINU – UKUPAN FINANCIJSKI REZULTAT</w:t>
            </w:r>
          </w:p>
        </w:tc>
      </w:tr>
    </w:tbl>
    <w:p w:rsidR="00CA1958" w:rsidRPr="005824CB" w:rsidRDefault="00CA1958">
      <w:pPr>
        <w:pStyle w:val="Uvuenotijeloteksta"/>
        <w:spacing w:line="240" w:lineRule="auto"/>
        <w:ind w:firstLine="0"/>
      </w:pPr>
    </w:p>
    <w:p w:rsidR="00CA1958" w:rsidRPr="005824CB" w:rsidRDefault="00CA1958">
      <w:pPr>
        <w:pStyle w:val="Uvuenotijeloteksta"/>
        <w:spacing w:line="240" w:lineRule="auto"/>
      </w:pPr>
      <w:r w:rsidRPr="005824CB">
        <w:rPr>
          <w:b/>
        </w:rPr>
        <w:t>Ukupan planirani financijski rezultat</w:t>
      </w:r>
      <w:r w:rsidRPr="005824CB">
        <w:t xml:space="preserve"> Proračuna Županije Posavske za 20</w:t>
      </w:r>
      <w:r w:rsidR="00E11959">
        <w:t>2</w:t>
      </w:r>
      <w:r w:rsidR="001F00ED">
        <w:t>1</w:t>
      </w:r>
      <w:r w:rsidRPr="005824CB">
        <w:t xml:space="preserve">. godinu je pozitivan i iznosi </w:t>
      </w:r>
      <w:r w:rsidR="001F00ED">
        <w:rPr>
          <w:b/>
        </w:rPr>
        <w:t>4.060</w:t>
      </w:r>
      <w:r w:rsidRPr="005824CB">
        <w:rPr>
          <w:b/>
        </w:rPr>
        <w:t xml:space="preserve"> KM</w:t>
      </w:r>
      <w:r w:rsidRPr="005824CB">
        <w:t>, što se planira za pokriće dijela deficita iz prethodnih godina</w:t>
      </w:r>
    </w:p>
    <w:p w:rsidR="00CA1958" w:rsidRPr="005824CB" w:rsidRDefault="00C74E2C">
      <w:pPr>
        <w:pStyle w:val="Uvuenotijeloteksta"/>
        <w:spacing w:line="240" w:lineRule="auto"/>
        <w:ind w:firstLine="0"/>
        <w:jc w:val="center"/>
      </w:pPr>
      <w:r w:rsidRPr="005824CB">
        <w:rPr>
          <w:noProof/>
          <w:lang w:eastAsia="hr-HR"/>
        </w:rPr>
        <w:drawing>
          <wp:inline distT="0" distB="0" distL="0" distR="0">
            <wp:extent cx="3780155" cy="2133600"/>
            <wp:effectExtent l="0" t="0" r="0" b="0"/>
            <wp:docPr id="7" name="Obj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64AA" w:rsidRPr="005824CB" w:rsidRDefault="003364AA">
      <w:pPr>
        <w:pStyle w:val="Naslov3"/>
        <w:jc w:val="both"/>
      </w:pPr>
    </w:p>
    <w:p w:rsidR="00CA1958" w:rsidRPr="005824CB" w:rsidRDefault="00E12ECC">
      <w:pPr>
        <w:pStyle w:val="Naslov3"/>
        <w:jc w:val="both"/>
      </w:pPr>
      <w:r>
        <w:t>Domaljevac</w:t>
      </w:r>
      <w:r w:rsidR="001F00ED">
        <w:t>, prosinac 2020</w:t>
      </w:r>
      <w:r w:rsidR="00CA1958" w:rsidRPr="005824CB">
        <w:t>. godine</w:t>
      </w:r>
    </w:p>
    <w:p w:rsidR="00CA1958" w:rsidRPr="005824CB" w:rsidRDefault="00CA1958">
      <w:pPr>
        <w:pStyle w:val="Naslov1"/>
        <w:jc w:val="both"/>
      </w:pPr>
      <w:r w:rsidRPr="005824CB">
        <w:t xml:space="preserve">                                                                                                                  </w:t>
      </w:r>
      <w:r w:rsidR="00E12ECC">
        <w:t>S K U P Š T I N A</w:t>
      </w:r>
    </w:p>
    <w:p w:rsidR="00CA1958" w:rsidRPr="005824CB" w:rsidRDefault="00CA1958">
      <w:pPr>
        <w:jc w:val="both"/>
        <w:rPr>
          <w:lang w:val="hr-HR"/>
        </w:rPr>
      </w:pPr>
    </w:p>
    <w:p w:rsidR="00CA1958" w:rsidRPr="005824CB" w:rsidRDefault="00CA1958">
      <w:pPr>
        <w:pStyle w:val="Naslov4"/>
        <w:ind w:left="5760"/>
        <w:jc w:val="both"/>
      </w:pPr>
      <w:r w:rsidRPr="005824CB">
        <w:t xml:space="preserve">                  Županije Posavske</w:t>
      </w:r>
    </w:p>
    <w:p w:rsidR="00CA1958" w:rsidRPr="005824CB" w:rsidRDefault="00CA1958">
      <w:pPr>
        <w:ind w:left="720"/>
        <w:jc w:val="both"/>
        <w:rPr>
          <w:lang w:val="hr-HR"/>
        </w:rPr>
      </w:pPr>
    </w:p>
    <w:sectPr w:rsidR="00CA1958" w:rsidRPr="005824CB" w:rsidSect="00D2043C">
      <w:headerReference w:type="even" r:id="rId15"/>
      <w:headerReference w:type="default" r:id="rId16"/>
      <w:footerReference w:type="even" r:id="rId17"/>
      <w:footerReference w:type="default" r:id="rId18"/>
      <w:pgSz w:w="11906" w:h="16838"/>
      <w:pgMar w:top="1417" w:right="1106" w:bottom="89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10" w:rsidRDefault="00100410">
      <w:r>
        <w:separator/>
      </w:r>
    </w:p>
  </w:endnote>
  <w:endnote w:type="continuationSeparator" w:id="0">
    <w:p w:rsidR="00100410" w:rsidRDefault="00100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4D" w:rsidRDefault="00AE715F">
    <w:pPr>
      <w:pStyle w:val="Podnoje"/>
      <w:framePr w:wrap="around" w:vAnchor="text" w:hAnchor="margin" w:xAlign="right" w:y="1"/>
      <w:rPr>
        <w:rStyle w:val="Brojstranice"/>
      </w:rPr>
    </w:pPr>
    <w:r>
      <w:rPr>
        <w:rStyle w:val="Brojstranice"/>
      </w:rPr>
      <w:fldChar w:fldCharType="begin"/>
    </w:r>
    <w:r w:rsidR="00210E4D">
      <w:rPr>
        <w:rStyle w:val="Brojstranice"/>
      </w:rPr>
      <w:instrText xml:space="preserve">PAGE  </w:instrText>
    </w:r>
    <w:r>
      <w:rPr>
        <w:rStyle w:val="Brojstranice"/>
      </w:rPr>
      <w:fldChar w:fldCharType="end"/>
    </w:r>
  </w:p>
  <w:p w:rsidR="00210E4D" w:rsidRDefault="00210E4D">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4D" w:rsidRDefault="00210E4D">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10" w:rsidRDefault="00100410">
      <w:r>
        <w:separator/>
      </w:r>
    </w:p>
  </w:footnote>
  <w:footnote w:type="continuationSeparator" w:id="0">
    <w:p w:rsidR="00100410" w:rsidRDefault="00100410">
      <w:r>
        <w:continuationSeparator/>
      </w:r>
    </w:p>
  </w:footnote>
  <w:footnote w:id="1">
    <w:p w:rsidR="00210E4D" w:rsidRPr="001A4B62" w:rsidRDefault="00210E4D">
      <w:pPr>
        <w:pStyle w:val="Tekstfusnote"/>
        <w:rPr>
          <w:lang w:val="hr-HR"/>
        </w:rPr>
      </w:pPr>
      <w:r>
        <w:rPr>
          <w:rStyle w:val="Referencafusnote"/>
        </w:rPr>
        <w:footnoteRef/>
      </w:r>
      <w:r>
        <w:t xml:space="preserve"> </w:t>
      </w:r>
      <w:r>
        <w:rPr>
          <w:lang w:val="hr-HR"/>
        </w:rPr>
        <w:t>OMA Bilten broj: 185/186, studeni/prosinac 2020.godine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4D" w:rsidRDefault="00AE715F">
    <w:pPr>
      <w:pStyle w:val="Zaglavlje"/>
      <w:framePr w:wrap="around" w:vAnchor="text" w:hAnchor="margin" w:xAlign="right" w:y="1"/>
      <w:rPr>
        <w:rStyle w:val="Brojstranice"/>
      </w:rPr>
    </w:pPr>
    <w:r>
      <w:rPr>
        <w:rStyle w:val="Brojstranice"/>
      </w:rPr>
      <w:fldChar w:fldCharType="begin"/>
    </w:r>
    <w:r w:rsidR="00210E4D">
      <w:rPr>
        <w:rStyle w:val="Brojstranice"/>
      </w:rPr>
      <w:instrText xml:space="preserve">PAGE  </w:instrText>
    </w:r>
    <w:r>
      <w:rPr>
        <w:rStyle w:val="Brojstranice"/>
      </w:rPr>
      <w:fldChar w:fldCharType="end"/>
    </w:r>
  </w:p>
  <w:p w:rsidR="00210E4D" w:rsidRDefault="00210E4D">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4D" w:rsidRDefault="00AE715F">
    <w:pPr>
      <w:pStyle w:val="Zaglavlje"/>
      <w:framePr w:wrap="around" w:vAnchor="text" w:hAnchor="margin" w:xAlign="right" w:y="1"/>
      <w:rPr>
        <w:rStyle w:val="Brojstranice"/>
      </w:rPr>
    </w:pPr>
    <w:r>
      <w:rPr>
        <w:rStyle w:val="Brojstranice"/>
      </w:rPr>
      <w:fldChar w:fldCharType="begin"/>
    </w:r>
    <w:r w:rsidR="00210E4D">
      <w:rPr>
        <w:rStyle w:val="Brojstranice"/>
      </w:rPr>
      <w:instrText xml:space="preserve">PAGE  </w:instrText>
    </w:r>
    <w:r>
      <w:rPr>
        <w:rStyle w:val="Brojstranice"/>
      </w:rPr>
      <w:fldChar w:fldCharType="separate"/>
    </w:r>
    <w:r w:rsidR="00922519">
      <w:rPr>
        <w:rStyle w:val="Brojstranice"/>
        <w:noProof/>
      </w:rPr>
      <w:t>15</w:t>
    </w:r>
    <w:r>
      <w:rPr>
        <w:rStyle w:val="Brojstranice"/>
      </w:rPr>
      <w:fldChar w:fldCharType="end"/>
    </w:r>
  </w:p>
  <w:tbl>
    <w:tblPr>
      <w:tblW w:w="0" w:type="auto"/>
      <w:tblBorders>
        <w:bottom w:val="single" w:sz="4" w:space="0" w:color="auto"/>
      </w:tblBorders>
      <w:tblLook w:val="0000"/>
    </w:tblPr>
    <w:tblGrid>
      <w:gridCol w:w="8208"/>
      <w:gridCol w:w="1391"/>
    </w:tblGrid>
    <w:tr w:rsidR="00210E4D">
      <w:tc>
        <w:tcPr>
          <w:tcW w:w="8208" w:type="dxa"/>
        </w:tcPr>
        <w:p w:rsidR="00210E4D" w:rsidRDefault="00210E4D" w:rsidP="0083585D">
          <w:pPr>
            <w:pStyle w:val="Zaglavlje"/>
            <w:ind w:right="360"/>
            <w:rPr>
              <w:b/>
              <w:bCs/>
              <w:i/>
              <w:iCs/>
              <w:sz w:val="22"/>
            </w:rPr>
          </w:pPr>
          <w:proofErr w:type="spellStart"/>
          <w:r>
            <w:rPr>
              <w:b/>
              <w:bCs/>
              <w:i/>
              <w:iCs/>
              <w:sz w:val="22"/>
            </w:rPr>
            <w:t>Obrazloženje</w:t>
          </w:r>
          <w:proofErr w:type="spellEnd"/>
          <w:r>
            <w:rPr>
              <w:b/>
              <w:bCs/>
              <w:i/>
              <w:iCs/>
              <w:sz w:val="22"/>
            </w:rPr>
            <w:t xml:space="preserve"> </w:t>
          </w:r>
          <w:proofErr w:type="spellStart"/>
          <w:r>
            <w:rPr>
              <w:b/>
              <w:bCs/>
              <w:i/>
              <w:iCs/>
              <w:sz w:val="22"/>
            </w:rPr>
            <w:t>Proračuna</w:t>
          </w:r>
          <w:proofErr w:type="spellEnd"/>
          <w:r>
            <w:rPr>
              <w:b/>
              <w:bCs/>
              <w:i/>
              <w:iCs/>
              <w:sz w:val="22"/>
            </w:rPr>
            <w:t xml:space="preserve"> Županije Posavske </w:t>
          </w:r>
          <w:proofErr w:type="spellStart"/>
          <w:r>
            <w:rPr>
              <w:b/>
              <w:bCs/>
              <w:i/>
              <w:iCs/>
              <w:sz w:val="22"/>
            </w:rPr>
            <w:t>za</w:t>
          </w:r>
          <w:proofErr w:type="spellEnd"/>
          <w:r>
            <w:rPr>
              <w:b/>
              <w:bCs/>
              <w:i/>
              <w:iCs/>
              <w:sz w:val="22"/>
            </w:rPr>
            <w:t xml:space="preserve"> 2021. </w:t>
          </w:r>
          <w:proofErr w:type="spellStart"/>
          <w:r>
            <w:rPr>
              <w:b/>
              <w:bCs/>
              <w:i/>
              <w:iCs/>
              <w:sz w:val="22"/>
            </w:rPr>
            <w:t>godinu</w:t>
          </w:r>
          <w:proofErr w:type="spellEnd"/>
        </w:p>
      </w:tc>
      <w:tc>
        <w:tcPr>
          <w:tcW w:w="1391" w:type="dxa"/>
          <w:tcBorders>
            <w:bottom w:val="single" w:sz="4" w:space="0" w:color="auto"/>
          </w:tcBorders>
        </w:tcPr>
        <w:p w:rsidR="00210E4D" w:rsidRDefault="00210E4D">
          <w:pPr>
            <w:pStyle w:val="Zaglavlje"/>
            <w:ind w:right="360"/>
          </w:pPr>
        </w:p>
      </w:tc>
    </w:tr>
  </w:tbl>
  <w:p w:rsidR="00210E4D" w:rsidRDefault="00210E4D">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9C9"/>
    <w:multiLevelType w:val="hybridMultilevel"/>
    <w:tmpl w:val="C12AE3C8"/>
    <w:lvl w:ilvl="0" w:tplc="E3D62014">
      <w:start w:val="1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13316F93"/>
    <w:multiLevelType w:val="hybridMultilevel"/>
    <w:tmpl w:val="36E0A076"/>
    <w:lvl w:ilvl="0" w:tplc="E3D62014">
      <w:start w:val="2"/>
      <w:numFmt w:val="bullet"/>
      <w:lvlText w:val="-"/>
      <w:lvlJc w:val="left"/>
      <w:pPr>
        <w:tabs>
          <w:tab w:val="num" w:pos="720"/>
        </w:tabs>
        <w:ind w:left="720" w:hanging="360"/>
      </w:pPr>
      <w:rPr>
        <w:rFonts w:ascii="Times New Roman" w:eastAsia="Times New Roman" w:hAnsi="Times New Roman" w:cs="Times New Roman" w:hint="default"/>
      </w:rPr>
    </w:lvl>
    <w:lvl w:ilvl="1" w:tplc="4808DD7E">
      <w:start w:val="1"/>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C82106"/>
    <w:multiLevelType w:val="hybridMultilevel"/>
    <w:tmpl w:val="817279A8"/>
    <w:lvl w:ilvl="0" w:tplc="E3D6201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D4785"/>
    <w:multiLevelType w:val="hybridMultilevel"/>
    <w:tmpl w:val="F29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07030"/>
    <w:multiLevelType w:val="hybridMultilevel"/>
    <w:tmpl w:val="4A309FE0"/>
    <w:lvl w:ilvl="0" w:tplc="E3D62014">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555CFE"/>
    <w:multiLevelType w:val="hybridMultilevel"/>
    <w:tmpl w:val="4D763D7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6F8348D5"/>
    <w:multiLevelType w:val="hybridMultilevel"/>
    <w:tmpl w:val="E51E306A"/>
    <w:lvl w:ilvl="0" w:tplc="ED56BB4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hyphenationZone w:val="425"/>
  <w:noPunctuationKerning/>
  <w:characterSpacingControl w:val="doNotCompress"/>
  <w:footnotePr>
    <w:footnote w:id="-1"/>
    <w:footnote w:id="0"/>
  </w:footnotePr>
  <w:endnotePr>
    <w:endnote w:id="-1"/>
    <w:endnote w:id="0"/>
  </w:endnotePr>
  <w:compat/>
  <w:rsids>
    <w:rsidRoot w:val="00394F0F"/>
    <w:rsid w:val="00006254"/>
    <w:rsid w:val="00012805"/>
    <w:rsid w:val="00014E58"/>
    <w:rsid w:val="00030BBF"/>
    <w:rsid w:val="000571EE"/>
    <w:rsid w:val="000630A6"/>
    <w:rsid w:val="000630AE"/>
    <w:rsid w:val="00082F7E"/>
    <w:rsid w:val="0008483D"/>
    <w:rsid w:val="000855D6"/>
    <w:rsid w:val="000A6CC3"/>
    <w:rsid w:val="000C206D"/>
    <w:rsid w:val="000D2F2E"/>
    <w:rsid w:val="000E2364"/>
    <w:rsid w:val="000E78FA"/>
    <w:rsid w:val="00100410"/>
    <w:rsid w:val="00113081"/>
    <w:rsid w:val="00126FC3"/>
    <w:rsid w:val="00153B75"/>
    <w:rsid w:val="00154B40"/>
    <w:rsid w:val="001563AA"/>
    <w:rsid w:val="00163E89"/>
    <w:rsid w:val="00177809"/>
    <w:rsid w:val="001974BC"/>
    <w:rsid w:val="001A4B62"/>
    <w:rsid w:val="001B5FA2"/>
    <w:rsid w:val="001C13FE"/>
    <w:rsid w:val="001C4D1B"/>
    <w:rsid w:val="001D2928"/>
    <w:rsid w:val="001D4A49"/>
    <w:rsid w:val="001E58B6"/>
    <w:rsid w:val="001F00ED"/>
    <w:rsid w:val="002044A9"/>
    <w:rsid w:val="00210E4D"/>
    <w:rsid w:val="00220735"/>
    <w:rsid w:val="002316A0"/>
    <w:rsid w:val="00252459"/>
    <w:rsid w:val="002701A9"/>
    <w:rsid w:val="0027185F"/>
    <w:rsid w:val="00285E65"/>
    <w:rsid w:val="00293B54"/>
    <w:rsid w:val="002961C3"/>
    <w:rsid w:val="002A64A7"/>
    <w:rsid w:val="002B2162"/>
    <w:rsid w:val="002B3D06"/>
    <w:rsid w:val="00302AD7"/>
    <w:rsid w:val="00307389"/>
    <w:rsid w:val="003153A2"/>
    <w:rsid w:val="00320BA1"/>
    <w:rsid w:val="003216B8"/>
    <w:rsid w:val="003344E8"/>
    <w:rsid w:val="003364AA"/>
    <w:rsid w:val="00373EBE"/>
    <w:rsid w:val="00382778"/>
    <w:rsid w:val="00394F0F"/>
    <w:rsid w:val="003A0397"/>
    <w:rsid w:val="003C081B"/>
    <w:rsid w:val="003C4C70"/>
    <w:rsid w:val="003D2A76"/>
    <w:rsid w:val="003E7134"/>
    <w:rsid w:val="004472E2"/>
    <w:rsid w:val="00452E70"/>
    <w:rsid w:val="004831FA"/>
    <w:rsid w:val="0049140C"/>
    <w:rsid w:val="004B182B"/>
    <w:rsid w:val="004B2DB5"/>
    <w:rsid w:val="004E4FEA"/>
    <w:rsid w:val="005165EA"/>
    <w:rsid w:val="00521025"/>
    <w:rsid w:val="00524038"/>
    <w:rsid w:val="0054530D"/>
    <w:rsid w:val="005655B8"/>
    <w:rsid w:val="00581DC1"/>
    <w:rsid w:val="005824CB"/>
    <w:rsid w:val="00584F35"/>
    <w:rsid w:val="00585EF5"/>
    <w:rsid w:val="005C5910"/>
    <w:rsid w:val="0060280C"/>
    <w:rsid w:val="00632221"/>
    <w:rsid w:val="00650E0F"/>
    <w:rsid w:val="0067020D"/>
    <w:rsid w:val="006F2C4D"/>
    <w:rsid w:val="0071255B"/>
    <w:rsid w:val="00722C0C"/>
    <w:rsid w:val="00732B4B"/>
    <w:rsid w:val="007546E8"/>
    <w:rsid w:val="007922E5"/>
    <w:rsid w:val="007A71FA"/>
    <w:rsid w:val="007D6908"/>
    <w:rsid w:val="007E4E3B"/>
    <w:rsid w:val="008242A7"/>
    <w:rsid w:val="0083585D"/>
    <w:rsid w:val="00856BD6"/>
    <w:rsid w:val="00873694"/>
    <w:rsid w:val="008770BA"/>
    <w:rsid w:val="0089165F"/>
    <w:rsid w:val="008972C0"/>
    <w:rsid w:val="008D3B7B"/>
    <w:rsid w:val="008D56E6"/>
    <w:rsid w:val="009013A1"/>
    <w:rsid w:val="00915439"/>
    <w:rsid w:val="00917FAE"/>
    <w:rsid w:val="00922519"/>
    <w:rsid w:val="00931AC1"/>
    <w:rsid w:val="00937634"/>
    <w:rsid w:val="00955443"/>
    <w:rsid w:val="00963F44"/>
    <w:rsid w:val="009754FD"/>
    <w:rsid w:val="00987B94"/>
    <w:rsid w:val="00A12E5A"/>
    <w:rsid w:val="00A2620C"/>
    <w:rsid w:val="00A305F9"/>
    <w:rsid w:val="00A32228"/>
    <w:rsid w:val="00A46608"/>
    <w:rsid w:val="00A65739"/>
    <w:rsid w:val="00A66BD5"/>
    <w:rsid w:val="00A91B33"/>
    <w:rsid w:val="00AB370A"/>
    <w:rsid w:val="00AD7B8F"/>
    <w:rsid w:val="00AE0D07"/>
    <w:rsid w:val="00AE5E7C"/>
    <w:rsid w:val="00AE715F"/>
    <w:rsid w:val="00B0096F"/>
    <w:rsid w:val="00B02068"/>
    <w:rsid w:val="00B049AD"/>
    <w:rsid w:val="00B30FCF"/>
    <w:rsid w:val="00B5105A"/>
    <w:rsid w:val="00B5111A"/>
    <w:rsid w:val="00B5250D"/>
    <w:rsid w:val="00B54579"/>
    <w:rsid w:val="00B91AB6"/>
    <w:rsid w:val="00BA464E"/>
    <w:rsid w:val="00BE2A18"/>
    <w:rsid w:val="00BE40A2"/>
    <w:rsid w:val="00C0235D"/>
    <w:rsid w:val="00C377AF"/>
    <w:rsid w:val="00C46C09"/>
    <w:rsid w:val="00C74E2C"/>
    <w:rsid w:val="00C756C2"/>
    <w:rsid w:val="00C76DC5"/>
    <w:rsid w:val="00CA1408"/>
    <w:rsid w:val="00CA1958"/>
    <w:rsid w:val="00CE516D"/>
    <w:rsid w:val="00D05359"/>
    <w:rsid w:val="00D2043C"/>
    <w:rsid w:val="00D2119E"/>
    <w:rsid w:val="00D44BA0"/>
    <w:rsid w:val="00D45F19"/>
    <w:rsid w:val="00D52071"/>
    <w:rsid w:val="00D61D5C"/>
    <w:rsid w:val="00D63FFB"/>
    <w:rsid w:val="00D6493C"/>
    <w:rsid w:val="00D80A20"/>
    <w:rsid w:val="00DB30E4"/>
    <w:rsid w:val="00DC2672"/>
    <w:rsid w:val="00DD74F2"/>
    <w:rsid w:val="00DF4164"/>
    <w:rsid w:val="00E11959"/>
    <w:rsid w:val="00E12ECC"/>
    <w:rsid w:val="00E23612"/>
    <w:rsid w:val="00E46CD1"/>
    <w:rsid w:val="00E843D3"/>
    <w:rsid w:val="00E851AC"/>
    <w:rsid w:val="00E87DB7"/>
    <w:rsid w:val="00EA07B7"/>
    <w:rsid w:val="00EB76E5"/>
    <w:rsid w:val="00EC010D"/>
    <w:rsid w:val="00F003CF"/>
    <w:rsid w:val="00F026AF"/>
    <w:rsid w:val="00F120C5"/>
    <w:rsid w:val="00F17FD4"/>
    <w:rsid w:val="00F2295C"/>
    <w:rsid w:val="00F354BB"/>
    <w:rsid w:val="00F67DB4"/>
    <w:rsid w:val="00F97354"/>
    <w:rsid w:val="00FB659B"/>
    <w:rsid w:val="00FB72B5"/>
    <w:rsid w:val="00FC34C3"/>
    <w:rsid w:val="00FD76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3C"/>
    <w:rPr>
      <w:sz w:val="24"/>
      <w:szCs w:val="24"/>
      <w:lang w:val="en-GB" w:eastAsia="en-US"/>
    </w:rPr>
  </w:style>
  <w:style w:type="paragraph" w:styleId="Naslov1">
    <w:name w:val="heading 1"/>
    <w:basedOn w:val="Normal"/>
    <w:next w:val="Normal"/>
    <w:qFormat/>
    <w:rsid w:val="00D2043C"/>
    <w:pPr>
      <w:keepNext/>
      <w:jc w:val="center"/>
      <w:outlineLvl w:val="0"/>
    </w:pPr>
    <w:rPr>
      <w:b/>
      <w:bCs/>
      <w:lang w:val="hr-HR"/>
    </w:rPr>
  </w:style>
  <w:style w:type="paragraph" w:styleId="Naslov2">
    <w:name w:val="heading 2"/>
    <w:basedOn w:val="Normal"/>
    <w:next w:val="Normal"/>
    <w:qFormat/>
    <w:rsid w:val="00D2043C"/>
    <w:pPr>
      <w:keepNext/>
      <w:outlineLvl w:val="1"/>
    </w:pPr>
    <w:rPr>
      <w:b/>
      <w:bCs/>
      <w:sz w:val="28"/>
      <w:lang w:val="hr-HR"/>
    </w:rPr>
  </w:style>
  <w:style w:type="paragraph" w:styleId="Naslov3">
    <w:name w:val="heading 3"/>
    <w:basedOn w:val="Normal"/>
    <w:next w:val="Normal"/>
    <w:qFormat/>
    <w:rsid w:val="00D2043C"/>
    <w:pPr>
      <w:keepNext/>
      <w:outlineLvl w:val="2"/>
    </w:pPr>
    <w:rPr>
      <w:b/>
      <w:bCs/>
      <w:lang w:val="hr-HR"/>
    </w:rPr>
  </w:style>
  <w:style w:type="paragraph" w:styleId="Naslov4">
    <w:name w:val="heading 4"/>
    <w:basedOn w:val="Normal"/>
    <w:next w:val="Normal"/>
    <w:qFormat/>
    <w:rsid w:val="00D2043C"/>
    <w:pPr>
      <w:keepNext/>
      <w:jc w:val="right"/>
      <w:outlineLvl w:val="3"/>
    </w:pPr>
    <w:rPr>
      <w:b/>
      <w:bCs/>
      <w:lang w:val="hr-HR"/>
    </w:rPr>
  </w:style>
  <w:style w:type="paragraph" w:styleId="Naslov5">
    <w:name w:val="heading 5"/>
    <w:basedOn w:val="Normal"/>
    <w:next w:val="Normal"/>
    <w:qFormat/>
    <w:rsid w:val="00D2043C"/>
    <w:pPr>
      <w:keepNext/>
      <w:spacing w:line="360" w:lineRule="auto"/>
      <w:ind w:firstLine="720"/>
      <w:jc w:val="both"/>
      <w:outlineLvl w:val="4"/>
    </w:pPr>
    <w:rPr>
      <w:b/>
      <w:bCs/>
      <w:lang w:val="hr-HR"/>
    </w:rPr>
  </w:style>
  <w:style w:type="paragraph" w:styleId="Naslov6">
    <w:name w:val="heading 6"/>
    <w:basedOn w:val="Normal"/>
    <w:next w:val="Normal"/>
    <w:qFormat/>
    <w:rsid w:val="00D2043C"/>
    <w:pPr>
      <w:keepNext/>
      <w:spacing w:line="360" w:lineRule="auto"/>
      <w:ind w:left="360"/>
      <w:jc w:val="both"/>
      <w:outlineLvl w:val="5"/>
    </w:pPr>
    <w:rPr>
      <w:b/>
      <w:bCs/>
      <w:lang w:val="hr-HR"/>
    </w:rPr>
  </w:style>
  <w:style w:type="paragraph" w:styleId="Naslov7">
    <w:name w:val="heading 7"/>
    <w:basedOn w:val="Normal"/>
    <w:next w:val="Normal"/>
    <w:qFormat/>
    <w:rsid w:val="00D2043C"/>
    <w:pPr>
      <w:keepNext/>
      <w:spacing w:line="360" w:lineRule="auto"/>
      <w:jc w:val="both"/>
      <w:outlineLvl w:val="6"/>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rsid w:val="00D2043C"/>
    <w:rPr>
      <w:b/>
      <w:bCs/>
      <w:sz w:val="24"/>
      <w:szCs w:val="24"/>
      <w:lang w:val="hr-HR" w:eastAsia="en-US"/>
    </w:rPr>
  </w:style>
  <w:style w:type="character" w:customStyle="1" w:styleId="Naslov2Char">
    <w:name w:val="Naslov 2 Char"/>
    <w:rsid w:val="00D2043C"/>
    <w:rPr>
      <w:b/>
      <w:bCs/>
      <w:sz w:val="28"/>
      <w:szCs w:val="24"/>
      <w:lang w:val="hr-HR" w:eastAsia="en-US"/>
    </w:rPr>
  </w:style>
  <w:style w:type="character" w:customStyle="1" w:styleId="Naslov3Char">
    <w:name w:val="Naslov 3 Char"/>
    <w:rsid w:val="00D2043C"/>
    <w:rPr>
      <w:b/>
      <w:bCs/>
      <w:sz w:val="24"/>
      <w:szCs w:val="24"/>
      <w:lang w:val="hr-HR" w:eastAsia="en-US"/>
    </w:rPr>
  </w:style>
  <w:style w:type="character" w:customStyle="1" w:styleId="Naslov4Char">
    <w:name w:val="Naslov 4 Char"/>
    <w:rsid w:val="00D2043C"/>
    <w:rPr>
      <w:b/>
      <w:bCs/>
      <w:sz w:val="24"/>
      <w:szCs w:val="24"/>
      <w:lang w:val="hr-HR" w:eastAsia="en-US"/>
    </w:rPr>
  </w:style>
  <w:style w:type="character" w:customStyle="1" w:styleId="Naslov5Char">
    <w:name w:val="Naslov 5 Char"/>
    <w:rsid w:val="00D2043C"/>
    <w:rPr>
      <w:b/>
      <w:bCs/>
      <w:sz w:val="24"/>
      <w:szCs w:val="24"/>
      <w:lang w:val="hr-HR" w:eastAsia="en-US"/>
    </w:rPr>
  </w:style>
  <w:style w:type="character" w:customStyle="1" w:styleId="Naslov6Char">
    <w:name w:val="Naslov 6 Char"/>
    <w:rsid w:val="00D2043C"/>
    <w:rPr>
      <w:b/>
      <w:bCs/>
      <w:sz w:val="24"/>
      <w:szCs w:val="24"/>
      <w:lang w:val="hr-HR" w:eastAsia="en-US"/>
    </w:rPr>
  </w:style>
  <w:style w:type="character" w:customStyle="1" w:styleId="Naslov7Char">
    <w:name w:val="Naslov 7 Char"/>
    <w:rsid w:val="00D2043C"/>
    <w:rPr>
      <w:b/>
      <w:bCs/>
      <w:sz w:val="24"/>
      <w:szCs w:val="24"/>
      <w:lang w:val="hr-HR" w:eastAsia="en-US"/>
    </w:rPr>
  </w:style>
  <w:style w:type="paragraph" w:styleId="Naslov">
    <w:name w:val="Title"/>
    <w:basedOn w:val="Normal"/>
    <w:qFormat/>
    <w:rsid w:val="00D2043C"/>
    <w:pPr>
      <w:jc w:val="center"/>
    </w:pPr>
    <w:rPr>
      <w:b/>
      <w:bCs/>
      <w:lang w:val="hr-HR"/>
    </w:rPr>
  </w:style>
  <w:style w:type="paragraph" w:styleId="Podnoje">
    <w:name w:val="footer"/>
    <w:basedOn w:val="Normal"/>
    <w:semiHidden/>
    <w:rsid w:val="00D2043C"/>
    <w:pPr>
      <w:tabs>
        <w:tab w:val="center" w:pos="4536"/>
        <w:tab w:val="right" w:pos="9072"/>
      </w:tabs>
    </w:pPr>
  </w:style>
  <w:style w:type="character" w:customStyle="1" w:styleId="PodnojeChar">
    <w:name w:val="Podnožje Char"/>
    <w:rsid w:val="00D2043C"/>
    <w:rPr>
      <w:sz w:val="24"/>
      <w:szCs w:val="24"/>
      <w:lang w:val="en-GB" w:eastAsia="en-US"/>
    </w:rPr>
  </w:style>
  <w:style w:type="character" w:styleId="Brojstranice">
    <w:name w:val="page number"/>
    <w:basedOn w:val="Zadanifontodlomka"/>
    <w:semiHidden/>
    <w:rsid w:val="00D2043C"/>
  </w:style>
  <w:style w:type="paragraph" w:styleId="Tijeloteksta">
    <w:name w:val="Body Text"/>
    <w:basedOn w:val="Normal"/>
    <w:semiHidden/>
    <w:rsid w:val="00D2043C"/>
    <w:pPr>
      <w:jc w:val="both"/>
    </w:pPr>
    <w:rPr>
      <w:lang w:val="hr-HR"/>
    </w:rPr>
  </w:style>
  <w:style w:type="character" w:customStyle="1" w:styleId="TijelotekstaChar">
    <w:name w:val="Tijelo teksta Char"/>
    <w:semiHidden/>
    <w:rsid w:val="00D2043C"/>
    <w:rPr>
      <w:sz w:val="24"/>
      <w:szCs w:val="24"/>
      <w:lang w:val="hr-HR" w:eastAsia="en-US"/>
    </w:rPr>
  </w:style>
  <w:style w:type="paragraph" w:styleId="Uvuenotijeloteksta">
    <w:name w:val="Body Text Indent"/>
    <w:basedOn w:val="Normal"/>
    <w:link w:val="UvuenotijelotekstaChar1"/>
    <w:semiHidden/>
    <w:rsid w:val="00D2043C"/>
    <w:pPr>
      <w:spacing w:line="360" w:lineRule="auto"/>
      <w:ind w:firstLine="720"/>
      <w:jc w:val="both"/>
    </w:pPr>
    <w:rPr>
      <w:lang w:val="hr-HR"/>
    </w:rPr>
  </w:style>
  <w:style w:type="character" w:customStyle="1" w:styleId="UvuenotijelotekstaChar">
    <w:name w:val="Uvučeno tijelo teksta Char"/>
    <w:semiHidden/>
    <w:rsid w:val="00D2043C"/>
    <w:rPr>
      <w:sz w:val="24"/>
      <w:szCs w:val="24"/>
      <w:lang w:val="hr-HR" w:eastAsia="en-US"/>
    </w:rPr>
  </w:style>
  <w:style w:type="paragraph" w:styleId="Tijeloteksta2">
    <w:name w:val="Body Text 2"/>
    <w:basedOn w:val="Normal"/>
    <w:semiHidden/>
    <w:rsid w:val="00D2043C"/>
    <w:pPr>
      <w:jc w:val="both"/>
    </w:pPr>
    <w:rPr>
      <w:spacing w:val="-2"/>
      <w:sz w:val="20"/>
      <w:lang w:val="hr-HR"/>
    </w:rPr>
  </w:style>
  <w:style w:type="paragraph" w:styleId="Tijeloteksta-uvlaka2">
    <w:name w:val="Body Text Indent 2"/>
    <w:basedOn w:val="Normal"/>
    <w:semiHidden/>
    <w:rsid w:val="00D2043C"/>
    <w:pPr>
      <w:ind w:firstLine="720"/>
      <w:jc w:val="both"/>
    </w:pPr>
    <w:rPr>
      <w:color w:val="FF0000"/>
      <w:lang w:val="hr-HR"/>
    </w:rPr>
  </w:style>
  <w:style w:type="paragraph" w:styleId="Zaglavlje">
    <w:name w:val="header"/>
    <w:basedOn w:val="Normal"/>
    <w:semiHidden/>
    <w:rsid w:val="00D2043C"/>
    <w:pPr>
      <w:tabs>
        <w:tab w:val="center" w:pos="4536"/>
        <w:tab w:val="right" w:pos="9072"/>
      </w:tabs>
    </w:pPr>
  </w:style>
  <w:style w:type="character" w:customStyle="1" w:styleId="ZaglavljeChar">
    <w:name w:val="Zaglavlje Char"/>
    <w:rsid w:val="00D2043C"/>
    <w:rPr>
      <w:sz w:val="24"/>
      <w:szCs w:val="24"/>
      <w:lang w:val="en-GB" w:eastAsia="en-US"/>
    </w:rPr>
  </w:style>
  <w:style w:type="paragraph" w:styleId="Tekstbalonia">
    <w:name w:val="Balloon Text"/>
    <w:basedOn w:val="Normal"/>
    <w:semiHidden/>
    <w:unhideWhenUsed/>
    <w:rsid w:val="00D2043C"/>
    <w:rPr>
      <w:rFonts w:ascii="Tahoma" w:hAnsi="Tahoma"/>
      <w:sz w:val="16"/>
      <w:szCs w:val="16"/>
    </w:rPr>
  </w:style>
  <w:style w:type="character" w:customStyle="1" w:styleId="BalloonTextChar">
    <w:name w:val="Balloon Text Char"/>
    <w:semiHidden/>
    <w:rsid w:val="00D2043C"/>
    <w:rPr>
      <w:rFonts w:ascii="Tahoma" w:hAnsi="Tahoma" w:cs="Tahoma"/>
      <w:sz w:val="16"/>
      <w:szCs w:val="16"/>
      <w:lang w:val="en-GB" w:eastAsia="en-US"/>
    </w:rPr>
  </w:style>
  <w:style w:type="paragraph" w:customStyle="1" w:styleId="Default">
    <w:name w:val="Default"/>
    <w:rsid w:val="00D2043C"/>
    <w:pPr>
      <w:autoSpaceDE w:val="0"/>
      <w:autoSpaceDN w:val="0"/>
      <w:adjustRightInd w:val="0"/>
    </w:pPr>
    <w:rPr>
      <w:color w:val="000000"/>
      <w:sz w:val="24"/>
      <w:szCs w:val="24"/>
    </w:rPr>
  </w:style>
  <w:style w:type="paragraph" w:styleId="Odlomakpopisa">
    <w:name w:val="List Paragraph"/>
    <w:basedOn w:val="Normal"/>
    <w:uiPriority w:val="34"/>
    <w:qFormat/>
    <w:rsid w:val="00D2043C"/>
    <w:pPr>
      <w:widowControl w:val="0"/>
      <w:ind w:left="720"/>
      <w:contextualSpacing/>
    </w:pPr>
    <w:rPr>
      <w:rFonts w:eastAsia="Calibri"/>
      <w:szCs w:val="22"/>
      <w:lang w:val="hr-HR"/>
    </w:rPr>
  </w:style>
  <w:style w:type="character" w:styleId="Hiperveza">
    <w:name w:val="Hyperlink"/>
    <w:semiHidden/>
    <w:rsid w:val="00D2043C"/>
    <w:rPr>
      <w:color w:val="0000FF"/>
      <w:u w:val="single"/>
    </w:rPr>
  </w:style>
  <w:style w:type="table" w:styleId="Reetkatablice">
    <w:name w:val="Table Grid"/>
    <w:basedOn w:val="Obinatablica"/>
    <w:uiPriority w:val="39"/>
    <w:rsid w:val="00963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semiHidden/>
    <w:unhideWhenUsed/>
    <w:rsid w:val="00D2043C"/>
    <w:pPr>
      <w:spacing w:before="100" w:beforeAutospacing="1" w:after="100" w:afterAutospacing="1"/>
    </w:pPr>
    <w:rPr>
      <w:lang w:val="hr-HR" w:eastAsia="hr-HR"/>
    </w:rPr>
  </w:style>
  <w:style w:type="table" w:customStyle="1" w:styleId="Srednjipopis21">
    <w:name w:val="Srednji popis 21"/>
    <w:basedOn w:val="Obinatablica"/>
    <w:uiPriority w:val="66"/>
    <w:rsid w:val="00963F4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Tekstfusnote">
    <w:name w:val="footnote text"/>
    <w:aliases w:val="Footnote Text Blue,Footnote Text1,Char,fn,FOOTNOTES,single space,footnote text,ADB,Footnote Text Char Char Char,Footnote Text Char Char,ft,Tegn1,Tegn1 Char,Char Char Char,Footnote Text Char2 Char Char,Footnote Text Char Char2 Char Char, Ch"/>
    <w:basedOn w:val="Normal"/>
    <w:link w:val="TekstfusnoteChar"/>
    <w:uiPriority w:val="99"/>
    <w:unhideWhenUsed/>
    <w:qFormat/>
    <w:rsid w:val="008770BA"/>
    <w:rPr>
      <w:sz w:val="20"/>
      <w:szCs w:val="20"/>
    </w:rPr>
  </w:style>
  <w:style w:type="character" w:customStyle="1" w:styleId="TekstfusnoteChar">
    <w:name w:val="Tekst fusnote Char"/>
    <w:aliases w:val="Footnote Text Blue Char,Footnote Text1 Char,Char Char,fn Char,FOOTNOTES Char,single space Char,footnote text Char,ADB Char,Footnote Text Char Char Char Char,Footnote Text Char Char Char1,ft Char,Tegn1 Char1,Tegn1 Char Char, Ch Char"/>
    <w:basedOn w:val="Zadanifontodlomka"/>
    <w:link w:val="Tekstfusnote"/>
    <w:uiPriority w:val="99"/>
    <w:rsid w:val="008770BA"/>
    <w:rPr>
      <w:lang w:val="en-GB" w:eastAsia="en-US"/>
    </w:rPr>
  </w:style>
  <w:style w:type="character" w:styleId="Referencafusnote">
    <w:name w:val="footnote reference"/>
    <w:aliases w:val="ftref,Footnote Reference Superscript,Footnote Reference Number,Footnote Reference_LVL6,Footnote Reference_LVL61,Footnote Reference_LVL62,Footnote Reference_LVL63,Footnote Reference_LVL64,16 Point,Superscript 6 Point,Знак сноски-FN,fr"/>
    <w:basedOn w:val="Zadanifontodlomka"/>
    <w:link w:val="BVIfnrZchnCharZchnCharCharCharChar"/>
    <w:uiPriority w:val="99"/>
    <w:unhideWhenUsed/>
    <w:qFormat/>
    <w:rsid w:val="008770BA"/>
    <w:rPr>
      <w:vertAlign w:val="superscript"/>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Referencafusnote"/>
    <w:uiPriority w:val="99"/>
    <w:rsid w:val="005655B8"/>
    <w:pPr>
      <w:spacing w:after="160" w:line="240" w:lineRule="exact"/>
    </w:pPr>
    <w:rPr>
      <w:sz w:val="20"/>
      <w:szCs w:val="20"/>
      <w:vertAlign w:val="superscript"/>
      <w:lang w:val="hr-HR" w:eastAsia="hr-HR"/>
    </w:rPr>
  </w:style>
  <w:style w:type="character" w:customStyle="1" w:styleId="UvuenotijelotekstaChar1">
    <w:name w:val="Uvučeno tijelo teksta Char1"/>
    <w:basedOn w:val="Zadanifontodlomka"/>
    <w:link w:val="Uvuenotijeloteksta"/>
    <w:semiHidden/>
    <w:rsid w:val="0027185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617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hPercent val="4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7534722222222301"/>
          <c:y val="8.1632653061224525E-2"/>
          <c:w val="0.74826388888888884"/>
          <c:h val="0.60408163265306625"/>
        </c:manualLayout>
      </c:layout>
      <c:bar3DChart>
        <c:barDir val="col"/>
        <c:grouping val="clustered"/>
        <c:ser>
          <c:idx val="0"/>
          <c:order val="0"/>
          <c:tx>
            <c:strRef>
              <c:f>Sheet1!$B$1</c:f>
              <c:strCache>
                <c:ptCount val="1"/>
                <c:pt idx="0">
                  <c:v>2020</c:v>
                </c:pt>
              </c:strCache>
            </c:strRef>
          </c:tx>
          <c:spPr>
            <a:solidFill>
              <a:srgbClr val="FFFFFF"/>
            </a:solidFill>
            <a:ln w="12724">
              <a:solidFill>
                <a:srgbClr val="000000"/>
              </a:solidFill>
              <a:prstDash val="solid"/>
            </a:ln>
          </c:spPr>
          <c:cat>
            <c:strRef>
              <c:f>Sheet1!$A$2:$A$7</c:f>
              <c:strCache>
                <c:ptCount val="6"/>
                <c:pt idx="0">
                  <c:v>Prihodi od poreza</c:v>
                </c:pt>
                <c:pt idx="1">
                  <c:v>Neporezni prihodi</c:v>
                </c:pt>
                <c:pt idx="2">
                  <c:v>Tekuće potpore</c:v>
                </c:pt>
                <c:pt idx="3">
                  <c:v>Kapitalne potpore</c:v>
                </c:pt>
                <c:pt idx="4">
                  <c:v>Prihodi po osnovi zaostalih obveza</c:v>
                </c:pt>
                <c:pt idx="5">
                  <c:v>Kapitalni primici</c:v>
                </c:pt>
              </c:strCache>
            </c:strRef>
          </c:cat>
          <c:val>
            <c:numRef>
              <c:f>Sheet1!$B$2:$B$7</c:f>
              <c:numCache>
                <c:formatCode>General</c:formatCode>
                <c:ptCount val="6"/>
                <c:pt idx="0">
                  <c:v>32350710</c:v>
                </c:pt>
                <c:pt idx="1">
                  <c:v>2731240</c:v>
                </c:pt>
                <c:pt idx="2">
                  <c:v>8254570</c:v>
                </c:pt>
                <c:pt idx="3">
                  <c:v>367700</c:v>
                </c:pt>
                <c:pt idx="4">
                  <c:v>330</c:v>
                </c:pt>
                <c:pt idx="5">
                  <c:v>11580</c:v>
                </c:pt>
              </c:numCache>
            </c:numRef>
          </c:val>
        </c:ser>
        <c:ser>
          <c:idx val="1"/>
          <c:order val="1"/>
          <c:tx>
            <c:strRef>
              <c:f>Sheet1!$C$1</c:f>
              <c:strCache>
                <c:ptCount val="1"/>
                <c:pt idx="0">
                  <c:v>2021</c:v>
                </c:pt>
              </c:strCache>
            </c:strRef>
          </c:tx>
          <c:spPr>
            <a:pattFill prst="wdUpDiag">
              <a:fgClr>
                <a:srgbClr val="000000"/>
              </a:fgClr>
              <a:bgClr>
                <a:srgbClr val="FFFFFF"/>
              </a:bgClr>
            </a:pattFill>
            <a:ln w="12724">
              <a:solidFill>
                <a:srgbClr val="000000"/>
              </a:solidFill>
              <a:prstDash val="solid"/>
            </a:ln>
          </c:spPr>
          <c:cat>
            <c:strRef>
              <c:f>Sheet1!$A$2:$A$7</c:f>
              <c:strCache>
                <c:ptCount val="6"/>
                <c:pt idx="0">
                  <c:v>Prihodi od poreza</c:v>
                </c:pt>
                <c:pt idx="1">
                  <c:v>Neporezni prihodi</c:v>
                </c:pt>
                <c:pt idx="2">
                  <c:v>Tekuće potpore</c:v>
                </c:pt>
                <c:pt idx="3">
                  <c:v>Kapitalne potpore</c:v>
                </c:pt>
                <c:pt idx="4">
                  <c:v>Prihodi po osnovi zaostalih obveza</c:v>
                </c:pt>
                <c:pt idx="5">
                  <c:v>Kapitalni primici</c:v>
                </c:pt>
              </c:strCache>
            </c:strRef>
          </c:cat>
          <c:val>
            <c:numRef>
              <c:f>Sheet1!$C$2:$C$7</c:f>
              <c:numCache>
                <c:formatCode>General</c:formatCode>
                <c:ptCount val="6"/>
                <c:pt idx="0">
                  <c:v>31363980</c:v>
                </c:pt>
                <c:pt idx="1">
                  <c:v>2949560</c:v>
                </c:pt>
                <c:pt idx="2">
                  <c:v>10093070</c:v>
                </c:pt>
                <c:pt idx="3">
                  <c:v>100000</c:v>
                </c:pt>
                <c:pt idx="4">
                  <c:v>350</c:v>
                </c:pt>
                <c:pt idx="5">
                  <c:v>0</c:v>
                </c:pt>
              </c:numCache>
            </c:numRef>
          </c:val>
        </c:ser>
        <c:gapDepth val="0"/>
        <c:shape val="box"/>
        <c:axId val="110896256"/>
        <c:axId val="110897792"/>
        <c:axId val="0"/>
      </c:bar3DChart>
      <c:catAx>
        <c:axId val="110896256"/>
        <c:scaling>
          <c:orientation val="minMax"/>
        </c:scaling>
        <c:axPos val="b"/>
        <c:numFmt formatCode="General" sourceLinked="1"/>
        <c:tickLblPos val="low"/>
        <c:spPr>
          <a:ln w="3181">
            <a:solidFill>
              <a:srgbClr val="000000"/>
            </a:solidFill>
            <a:prstDash val="solid"/>
          </a:ln>
        </c:spPr>
        <c:txPr>
          <a:bodyPr rot="0" vert="horz"/>
          <a:lstStyle/>
          <a:p>
            <a:pPr>
              <a:defRPr sz="802" b="0" i="0" u="none" strike="noStrike" baseline="0">
                <a:solidFill>
                  <a:srgbClr val="000000"/>
                </a:solidFill>
                <a:latin typeface="Calibri"/>
                <a:ea typeface="Calibri"/>
                <a:cs typeface="Calibri"/>
              </a:defRPr>
            </a:pPr>
            <a:endParaRPr lang="sr-Latn-CS"/>
          </a:p>
        </c:txPr>
        <c:crossAx val="110897792"/>
        <c:crosses val="autoZero"/>
        <c:auto val="1"/>
        <c:lblAlgn val="ctr"/>
        <c:lblOffset val="100"/>
        <c:tickLblSkip val="1"/>
        <c:tickMarkSkip val="1"/>
      </c:catAx>
      <c:valAx>
        <c:axId val="110897792"/>
        <c:scaling>
          <c:orientation val="minMax"/>
        </c:scaling>
        <c:axPos val="l"/>
        <c:majorGridlines>
          <c:spPr>
            <a:ln w="3181">
              <a:solidFill>
                <a:srgbClr val="000000"/>
              </a:solidFill>
              <a:prstDash val="solid"/>
            </a:ln>
          </c:spPr>
        </c:majorGridlines>
        <c:numFmt formatCode="#,##0" sourceLinked="0"/>
        <c:tickLblPos val="nextTo"/>
        <c:spPr>
          <a:ln w="3181">
            <a:solidFill>
              <a:srgbClr val="000000"/>
            </a:solidFill>
            <a:prstDash val="solid"/>
          </a:ln>
        </c:spPr>
        <c:txPr>
          <a:bodyPr rot="0" vert="horz"/>
          <a:lstStyle/>
          <a:p>
            <a:pPr>
              <a:defRPr sz="1077" b="0" i="0" u="none" strike="noStrike" baseline="0">
                <a:solidFill>
                  <a:srgbClr val="000000"/>
                </a:solidFill>
                <a:latin typeface="Calibri"/>
                <a:ea typeface="Calibri"/>
                <a:cs typeface="Calibri"/>
              </a:defRPr>
            </a:pPr>
            <a:endParaRPr lang="sr-Latn-CS"/>
          </a:p>
        </c:txPr>
        <c:crossAx val="110896256"/>
        <c:crosses val="autoZero"/>
        <c:crossBetween val="between"/>
      </c:valAx>
      <c:spPr>
        <a:noFill/>
        <a:ln w="25449">
          <a:noFill/>
        </a:ln>
      </c:spPr>
    </c:plotArea>
    <c:legend>
      <c:legendPos val="r"/>
      <c:layout>
        <c:manualLayout>
          <c:xMode val="edge"/>
          <c:yMode val="edge"/>
          <c:x val="0.90451388888888851"/>
          <c:y val="0.40816326530612246"/>
          <c:w val="8.6805555555555566E-2"/>
          <c:h val="0.18367346938775511"/>
        </c:manualLayout>
      </c:layout>
      <c:spPr>
        <a:solidFill>
          <a:srgbClr val="FFFFFF"/>
        </a:solidFill>
        <a:ln w="3181">
          <a:solidFill>
            <a:srgbClr val="000000"/>
          </a:solidFill>
          <a:prstDash val="solid"/>
        </a:ln>
      </c:spPr>
      <c:txPr>
        <a:bodyPr/>
        <a:lstStyle/>
        <a:p>
          <a:pPr>
            <a:defRPr sz="987" b="1" i="0" u="none" strike="noStrike" baseline="0">
              <a:solidFill>
                <a:srgbClr val="000000"/>
              </a:solidFill>
              <a:latin typeface="Calibri"/>
              <a:ea typeface="Calibri"/>
              <a:cs typeface="Calibri"/>
            </a:defRPr>
          </a:pPr>
          <a:endParaRPr lang="sr-Latn-CS"/>
        </a:p>
      </c:txPr>
    </c:legend>
    <c:plotVisOnly val="1"/>
    <c:dispBlanksAs val="gap"/>
  </c:chart>
  <c:spPr>
    <a:noFill/>
    <a:ln>
      <a:noFill/>
    </a:ln>
  </c:spPr>
  <c:txPr>
    <a:bodyPr/>
    <a:lstStyle/>
    <a:p>
      <a:pPr>
        <a:defRPr sz="1077" b="1" i="0" u="none" strike="noStrike" baseline="0">
          <a:solidFill>
            <a:srgbClr val="000000"/>
          </a:solidFill>
          <a:latin typeface="Calibri"/>
          <a:ea typeface="Calibri"/>
          <a:cs typeface="Calibri"/>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1286449399656947"/>
          <c:y val="7.9545454545454544E-2"/>
          <c:w val="0.85591766723842422"/>
          <c:h val="0.59090909090909094"/>
        </c:manualLayout>
      </c:layout>
      <c:barChart>
        <c:barDir val="col"/>
        <c:grouping val="clustered"/>
        <c:ser>
          <c:idx val="0"/>
          <c:order val="0"/>
          <c:tx>
            <c:strRef>
              <c:f>Sheet1!$B$1</c:f>
              <c:strCache>
                <c:ptCount val="1"/>
                <c:pt idx="0">
                  <c:v>2020</c:v>
                </c:pt>
              </c:strCache>
            </c:strRef>
          </c:tx>
          <c:spPr>
            <a:solidFill>
              <a:srgbClr val="C0C0C0"/>
            </a:solidFill>
            <a:ln w="12731">
              <a:solidFill>
                <a:srgbClr val="000000"/>
              </a:solidFill>
              <a:prstDash val="solid"/>
            </a:ln>
          </c:spPr>
          <c:cat>
            <c:strRef>
              <c:f>Sheet1!$A$2:$A$10</c:f>
              <c:strCache>
                <c:ptCount val="9"/>
                <c:pt idx="0">
                  <c:v>Tekuća pričuva</c:v>
                </c:pt>
                <c:pt idx="1">
                  <c:v>Plaće i naknade</c:v>
                </c:pt>
                <c:pt idx="2">
                  <c:v>Doprinosi poslodavca</c:v>
                </c:pt>
                <c:pt idx="3">
                  <c:v>Materijalni troškovi</c:v>
                </c:pt>
                <c:pt idx="4">
                  <c:v>Tekući grantovi</c:v>
                </c:pt>
                <c:pt idx="5">
                  <c:v>Kapitalni grantovi</c:v>
                </c:pt>
                <c:pt idx="6">
                  <c:v>Izdaci za kamate</c:v>
                </c:pt>
                <c:pt idx="7">
                  <c:v>Izdaci za nabavku stalnih sredstava</c:v>
                </c:pt>
                <c:pt idx="8">
                  <c:v>Izdaci za otplate dugova</c:v>
                </c:pt>
              </c:strCache>
            </c:strRef>
          </c:cat>
          <c:val>
            <c:numRef>
              <c:f>Sheet1!$B$2:$B$10</c:f>
              <c:numCache>
                <c:formatCode>General</c:formatCode>
                <c:ptCount val="9"/>
                <c:pt idx="0">
                  <c:v>548000</c:v>
                </c:pt>
                <c:pt idx="1">
                  <c:v>21853470</c:v>
                </c:pt>
                <c:pt idx="2">
                  <c:v>2163210</c:v>
                </c:pt>
                <c:pt idx="3">
                  <c:v>4006650</c:v>
                </c:pt>
                <c:pt idx="4">
                  <c:v>11854800</c:v>
                </c:pt>
                <c:pt idx="5">
                  <c:v>645000</c:v>
                </c:pt>
                <c:pt idx="6">
                  <c:v>41720</c:v>
                </c:pt>
                <c:pt idx="7">
                  <c:v>2087010</c:v>
                </c:pt>
                <c:pt idx="8">
                  <c:v>515000</c:v>
                </c:pt>
              </c:numCache>
            </c:numRef>
          </c:val>
        </c:ser>
        <c:ser>
          <c:idx val="1"/>
          <c:order val="1"/>
          <c:tx>
            <c:strRef>
              <c:f>Sheet1!$C$1</c:f>
              <c:strCache>
                <c:ptCount val="1"/>
                <c:pt idx="0">
                  <c:v>2021</c:v>
                </c:pt>
              </c:strCache>
            </c:strRef>
          </c:tx>
          <c:spPr>
            <a:pattFill prst="dkVert">
              <a:fgClr>
                <a:srgbClr val="000000"/>
              </a:fgClr>
              <a:bgClr>
                <a:srgbClr val="FFFFFF"/>
              </a:bgClr>
            </a:pattFill>
            <a:ln w="12731">
              <a:solidFill>
                <a:srgbClr val="000000"/>
              </a:solidFill>
              <a:prstDash val="solid"/>
            </a:ln>
          </c:spPr>
          <c:cat>
            <c:strRef>
              <c:f>Sheet1!$A$2:$A$10</c:f>
              <c:strCache>
                <c:ptCount val="9"/>
                <c:pt idx="0">
                  <c:v>Tekuća pričuva</c:v>
                </c:pt>
                <c:pt idx="1">
                  <c:v>Plaće i naknade</c:v>
                </c:pt>
                <c:pt idx="2">
                  <c:v>Doprinosi poslodavca</c:v>
                </c:pt>
                <c:pt idx="3">
                  <c:v>Materijalni troškovi</c:v>
                </c:pt>
                <c:pt idx="4">
                  <c:v>Tekući grantovi</c:v>
                </c:pt>
                <c:pt idx="5">
                  <c:v>Kapitalni grantovi</c:v>
                </c:pt>
                <c:pt idx="6">
                  <c:v>Izdaci za kamate</c:v>
                </c:pt>
                <c:pt idx="7">
                  <c:v>Izdaci za nabavku stalnih sredstava</c:v>
                </c:pt>
                <c:pt idx="8">
                  <c:v>Izdaci za otplate dugova</c:v>
                </c:pt>
              </c:strCache>
            </c:strRef>
          </c:cat>
          <c:val>
            <c:numRef>
              <c:f>Sheet1!$C$2:$C$10</c:f>
              <c:numCache>
                <c:formatCode>General</c:formatCode>
                <c:ptCount val="9"/>
                <c:pt idx="0">
                  <c:v>348000</c:v>
                </c:pt>
                <c:pt idx="1">
                  <c:v>23260180</c:v>
                </c:pt>
                <c:pt idx="2">
                  <c:v>2288170</c:v>
                </c:pt>
                <c:pt idx="3">
                  <c:v>4176360</c:v>
                </c:pt>
                <c:pt idx="4">
                  <c:v>11438000</c:v>
                </c:pt>
                <c:pt idx="5">
                  <c:v>750000</c:v>
                </c:pt>
                <c:pt idx="6">
                  <c:v>37920</c:v>
                </c:pt>
                <c:pt idx="7">
                  <c:v>1687000</c:v>
                </c:pt>
                <c:pt idx="8">
                  <c:v>517270</c:v>
                </c:pt>
              </c:numCache>
            </c:numRef>
          </c:val>
        </c:ser>
        <c:axId val="111134208"/>
        <c:axId val="111144960"/>
      </c:barChart>
      <c:catAx>
        <c:axId val="111134208"/>
        <c:scaling>
          <c:orientation val="minMax"/>
        </c:scaling>
        <c:axPos val="b"/>
        <c:majorGridlines>
          <c:spPr>
            <a:ln w="3183">
              <a:solidFill>
                <a:srgbClr val="000000"/>
              </a:solidFill>
              <a:prstDash val="solid"/>
            </a:ln>
          </c:spPr>
        </c:majorGridlines>
        <c:numFmt formatCode="General" sourceLinked="1"/>
        <c:tickLblPos val="nextTo"/>
        <c:spPr>
          <a:ln w="3183">
            <a:solidFill>
              <a:srgbClr val="000000"/>
            </a:solidFill>
            <a:prstDash val="solid"/>
          </a:ln>
        </c:spPr>
        <c:txPr>
          <a:bodyPr rot="-5400000" vert="horz"/>
          <a:lstStyle/>
          <a:p>
            <a:pPr>
              <a:defRPr sz="652" b="0" i="0" u="none" strike="noStrike" baseline="0">
                <a:solidFill>
                  <a:srgbClr val="000000"/>
                </a:solidFill>
                <a:latin typeface="Calibri"/>
                <a:ea typeface="Calibri"/>
                <a:cs typeface="Calibri"/>
              </a:defRPr>
            </a:pPr>
            <a:endParaRPr lang="sr-Latn-CS"/>
          </a:p>
        </c:txPr>
        <c:crossAx val="111144960"/>
        <c:crosses val="autoZero"/>
        <c:auto val="1"/>
        <c:lblAlgn val="ctr"/>
        <c:lblOffset val="100"/>
        <c:tickLblSkip val="1"/>
        <c:tickMarkSkip val="1"/>
      </c:catAx>
      <c:valAx>
        <c:axId val="111144960"/>
        <c:scaling>
          <c:orientation val="minMax"/>
        </c:scaling>
        <c:axPos val="l"/>
        <c:majorGridlines>
          <c:spPr>
            <a:ln w="3183">
              <a:solidFill>
                <a:srgbClr val="000000"/>
              </a:solidFill>
              <a:prstDash val="solid"/>
            </a:ln>
          </c:spPr>
        </c:majorGridlines>
        <c:numFmt formatCode="#,##0" sourceLinked="0"/>
        <c:tickLblPos val="nextTo"/>
        <c:spPr>
          <a:ln w="3183">
            <a:solidFill>
              <a:srgbClr val="000000"/>
            </a:solidFill>
            <a:prstDash val="solid"/>
          </a:ln>
        </c:spPr>
        <c:txPr>
          <a:bodyPr rot="0" vert="horz"/>
          <a:lstStyle/>
          <a:p>
            <a:pPr>
              <a:defRPr sz="802" b="0" i="0" u="none" strike="noStrike" baseline="0">
                <a:solidFill>
                  <a:srgbClr val="000000"/>
                </a:solidFill>
                <a:latin typeface="Calibri"/>
                <a:ea typeface="Calibri"/>
                <a:cs typeface="Calibri"/>
              </a:defRPr>
            </a:pPr>
            <a:endParaRPr lang="sr-Latn-CS"/>
          </a:p>
        </c:txPr>
        <c:crossAx val="111134208"/>
        <c:crosses val="autoZero"/>
        <c:crossBetween val="between"/>
      </c:valAx>
      <c:spPr>
        <a:solidFill>
          <a:srgbClr val="FFFFFF"/>
        </a:solidFill>
        <a:ln w="12731">
          <a:solidFill>
            <a:srgbClr val="FFFFFF"/>
          </a:solidFill>
          <a:prstDash val="solid"/>
        </a:ln>
      </c:spPr>
    </c:plotArea>
    <c:legend>
      <c:legendPos val="b"/>
      <c:layout>
        <c:manualLayout>
          <c:xMode val="edge"/>
          <c:yMode val="edge"/>
          <c:x val="0.48370497427101311"/>
          <c:y val="0.90530303030303061"/>
          <c:w val="0.14236706689536968"/>
          <c:h val="8.3333333333333343E-2"/>
        </c:manualLayout>
      </c:layout>
      <c:spPr>
        <a:noFill/>
        <a:ln w="3183">
          <a:solidFill>
            <a:srgbClr val="000000"/>
          </a:solidFill>
          <a:prstDash val="solid"/>
        </a:ln>
      </c:spPr>
      <c:txPr>
        <a:bodyPr/>
        <a:lstStyle/>
        <a:p>
          <a:pPr>
            <a:defRPr sz="737" b="0" i="0" u="none" strike="noStrike" baseline="0">
              <a:solidFill>
                <a:srgbClr val="000000"/>
              </a:solidFill>
              <a:latin typeface="Calibri"/>
              <a:ea typeface="Calibri"/>
              <a:cs typeface="Calibri"/>
            </a:defRPr>
          </a:pPr>
          <a:endParaRPr lang="sr-Latn-CS"/>
        </a:p>
      </c:txPr>
    </c:legend>
    <c:plotVisOnly val="1"/>
    <c:dispBlanksAs val="gap"/>
  </c:chart>
  <c:spPr>
    <a:noFill/>
    <a:ln>
      <a:noFill/>
    </a:ln>
  </c:spPr>
  <c:txPr>
    <a:bodyPr/>
    <a:lstStyle/>
    <a:p>
      <a:pPr>
        <a:defRPr sz="802" b="0" i="0" u="none" strike="noStrike" baseline="0">
          <a:solidFill>
            <a:srgbClr val="000000"/>
          </a:solidFill>
          <a:latin typeface="Calibri"/>
          <a:ea typeface="Calibri"/>
          <a:cs typeface="Calibri"/>
        </a:defRPr>
      </a:pPr>
      <a:endParaRPr lang="sr-Latn-C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19379844961240425"/>
          <c:y val="9.8130841121495949E-2"/>
          <c:w val="0.78294573643411347"/>
          <c:h val="0.79439252336448662"/>
        </c:manualLayout>
      </c:layout>
      <c:barChart>
        <c:barDir val="col"/>
        <c:grouping val="clustered"/>
        <c:ser>
          <c:idx val="0"/>
          <c:order val="0"/>
          <c:tx>
            <c:strRef>
              <c:f>Sheet1!$B$1</c:f>
              <c:strCache>
                <c:ptCount val="1"/>
                <c:pt idx="0">
                  <c:v>Proračunski prihodi</c:v>
                </c:pt>
              </c:strCache>
            </c:strRef>
          </c:tx>
          <c:spPr>
            <a:solidFill>
              <a:srgbClr val="C0C0C0"/>
            </a:solidFill>
            <a:ln w="12727">
              <a:solidFill>
                <a:srgbClr val="000000"/>
              </a:solidFill>
              <a:prstDash val="solid"/>
            </a:ln>
          </c:spPr>
          <c:dLbls>
            <c:dLbl>
              <c:idx val="0"/>
              <c:layout>
                <c:manualLayout>
                  <c:x val="-1.1626855427952229E-2"/>
                  <c:y val="0.21495327102803741"/>
                </c:manualLayout>
              </c:layout>
              <c:dLblPos val="outEnd"/>
              <c:showVal val="1"/>
              <c:showSerName val="1"/>
            </c:dLbl>
            <c:spPr>
              <a:noFill/>
              <a:ln w="25454">
                <a:noFill/>
              </a:ln>
            </c:spPr>
            <c:txPr>
              <a:bodyPr/>
              <a:lstStyle/>
              <a:p>
                <a:pPr>
                  <a:defRPr sz="802"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Sheet1!$B$2:$B$2</c:f>
              <c:numCache>
                <c:formatCode>#,##0</c:formatCode>
                <c:ptCount val="1"/>
                <c:pt idx="0">
                  <c:v>44506960</c:v>
                </c:pt>
              </c:numCache>
            </c:numRef>
          </c:val>
        </c:ser>
        <c:ser>
          <c:idx val="1"/>
          <c:order val="1"/>
          <c:tx>
            <c:strRef>
              <c:f>Sheet1!$C$1</c:f>
              <c:strCache>
                <c:ptCount val="1"/>
                <c:pt idx="0">
                  <c:v>Proračunski rashodi</c:v>
                </c:pt>
              </c:strCache>
            </c:strRef>
          </c:tx>
          <c:spPr>
            <a:solidFill>
              <a:srgbClr val="FFFFFF"/>
            </a:solidFill>
            <a:ln w="12727">
              <a:solidFill>
                <a:srgbClr val="000000"/>
              </a:solidFill>
              <a:prstDash val="solid"/>
            </a:ln>
          </c:spPr>
          <c:dLbls>
            <c:dLbl>
              <c:idx val="0"/>
              <c:layout>
                <c:manualLayout>
                  <c:x val="-9.9041936859267047E-3"/>
                  <c:y val="0.25233644859812937"/>
                </c:manualLayout>
              </c:layout>
              <c:dLblPos val="outEnd"/>
              <c:showVal val="1"/>
              <c:showSerName val="1"/>
            </c:dLbl>
            <c:spPr>
              <a:noFill/>
              <a:ln w="25454">
                <a:noFill/>
              </a:ln>
            </c:spPr>
            <c:txPr>
              <a:bodyPr/>
              <a:lstStyle/>
              <a:p>
                <a:pPr>
                  <a:defRPr sz="802"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Sheet1!$C$2:$C$2</c:f>
              <c:numCache>
                <c:formatCode>#,##0</c:formatCode>
                <c:ptCount val="1"/>
                <c:pt idx="0">
                  <c:v>42298630</c:v>
                </c:pt>
              </c:numCache>
            </c:numRef>
          </c:val>
        </c:ser>
        <c:ser>
          <c:idx val="2"/>
          <c:order val="2"/>
          <c:tx>
            <c:strRef>
              <c:f>Sheet1!$D$1</c:f>
              <c:strCache>
                <c:ptCount val="1"/>
                <c:pt idx="0">
                  <c:v>Tekuća bilanca</c:v>
                </c:pt>
              </c:strCache>
            </c:strRef>
          </c:tx>
          <c:spPr>
            <a:pattFill prst="dkDnDiag">
              <a:fgClr>
                <a:srgbClr val="000000"/>
              </a:fgClr>
              <a:bgClr>
                <a:srgbClr val="FFFFFF"/>
              </a:bgClr>
            </a:pattFill>
            <a:ln w="12727">
              <a:solidFill>
                <a:srgbClr val="000000"/>
              </a:solidFill>
              <a:prstDash val="solid"/>
            </a:ln>
          </c:spPr>
          <c:dLbls>
            <c:dLbl>
              <c:idx val="0"/>
              <c:layout>
                <c:manualLayout>
                  <c:x val="3.9642060966551896E-3"/>
                  <c:y val="-4.2554877465466955E-2"/>
                </c:manualLayout>
              </c:layout>
              <c:tx>
                <c:rich>
                  <a:bodyPr/>
                  <a:lstStyle/>
                  <a:p>
                    <a:r>
                      <a:rPr lang="hr-HR"/>
                      <a:t>Tekuća bilanca; 2.208.330</a:t>
                    </a:r>
                  </a:p>
                </c:rich>
              </c:tx>
              <c:dLblPos val="outEnd"/>
            </c:dLbl>
            <c:spPr>
              <a:noFill/>
              <a:ln w="25454">
                <a:noFill/>
              </a:ln>
            </c:spPr>
            <c:txPr>
              <a:bodyPr/>
              <a:lstStyle/>
              <a:p>
                <a:pPr>
                  <a:defRPr sz="802"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Sheet1!$D$2:$D$2</c:f>
              <c:numCache>
                <c:formatCode>#,##0</c:formatCode>
                <c:ptCount val="1"/>
                <c:pt idx="0">
                  <c:v>2208330</c:v>
                </c:pt>
              </c:numCache>
            </c:numRef>
          </c:val>
        </c:ser>
        <c:axId val="111190784"/>
        <c:axId val="111192320"/>
      </c:barChart>
      <c:catAx>
        <c:axId val="111190784"/>
        <c:scaling>
          <c:orientation val="minMax"/>
        </c:scaling>
        <c:axPos val="b"/>
        <c:numFmt formatCode="General" sourceLinked="1"/>
        <c:tickLblPos val="nextTo"/>
        <c:spPr>
          <a:ln w="3182">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sr-Latn-CS"/>
          </a:p>
        </c:txPr>
        <c:crossAx val="111192320"/>
        <c:crosses val="autoZero"/>
        <c:auto val="1"/>
        <c:lblAlgn val="ctr"/>
        <c:lblOffset val="100"/>
        <c:tickLblSkip val="1"/>
        <c:tickMarkSkip val="1"/>
      </c:catAx>
      <c:valAx>
        <c:axId val="111192320"/>
        <c:scaling>
          <c:orientation val="minMax"/>
        </c:scaling>
        <c:axPos val="l"/>
        <c:majorGridlines>
          <c:spPr>
            <a:ln w="3182">
              <a:solidFill>
                <a:srgbClr val="000000"/>
              </a:solidFill>
              <a:prstDash val="solid"/>
            </a:ln>
          </c:spPr>
        </c:majorGridlines>
        <c:numFmt formatCode="#,##0" sourceLinked="0"/>
        <c:tickLblPos val="nextTo"/>
        <c:spPr>
          <a:ln w="3182">
            <a:solidFill>
              <a:srgbClr val="000000"/>
            </a:solidFill>
            <a:prstDash val="solid"/>
          </a:ln>
        </c:spPr>
        <c:txPr>
          <a:bodyPr rot="0" vert="horz"/>
          <a:lstStyle/>
          <a:p>
            <a:pPr>
              <a:defRPr sz="802" b="0" i="0" u="none" strike="noStrike" baseline="0">
                <a:solidFill>
                  <a:srgbClr val="000000"/>
                </a:solidFill>
                <a:latin typeface="Calibri"/>
                <a:ea typeface="Calibri"/>
                <a:cs typeface="Calibri"/>
              </a:defRPr>
            </a:pPr>
            <a:endParaRPr lang="sr-Latn-CS"/>
          </a:p>
        </c:txPr>
        <c:crossAx val="111190784"/>
        <c:crosses val="autoZero"/>
        <c:crossBetween val="between"/>
      </c:valAx>
      <c:spPr>
        <a:noFill/>
        <a:ln w="25454">
          <a:noFill/>
        </a:ln>
      </c:spPr>
    </c:plotArea>
    <c:plotVisOnly val="1"/>
    <c:dispBlanksAs val="gap"/>
  </c:chart>
  <c:spPr>
    <a:noFill/>
    <a:ln>
      <a:noFill/>
    </a:ln>
  </c:spPr>
  <c:txPr>
    <a:bodyPr/>
    <a:lstStyle/>
    <a:p>
      <a:pPr>
        <a:defRPr sz="952" b="1" i="0" u="none" strike="noStrike" baseline="0">
          <a:solidFill>
            <a:srgbClr val="000000"/>
          </a:solidFill>
          <a:latin typeface="Calibri"/>
          <a:ea typeface="Calibri"/>
          <a:cs typeface="Calibri"/>
        </a:defRPr>
      </a:pPr>
      <a:endParaRPr lang="sr-Latn-C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18604651162790756"/>
          <c:y val="9.8130841121495949E-2"/>
          <c:w val="0.79069767441860772"/>
          <c:h val="0.81308411214953524"/>
        </c:manualLayout>
      </c:layout>
      <c:barChart>
        <c:barDir val="col"/>
        <c:grouping val="clustered"/>
        <c:ser>
          <c:idx val="0"/>
          <c:order val="0"/>
          <c:tx>
            <c:strRef>
              <c:f>Sheet1!$B$1</c:f>
              <c:strCache>
                <c:ptCount val="1"/>
                <c:pt idx="0">
                  <c:v>Primici od nefin.imovine</c:v>
                </c:pt>
              </c:strCache>
            </c:strRef>
          </c:tx>
          <c:spPr>
            <a:solidFill>
              <a:srgbClr val="9999FF"/>
            </a:solidFill>
            <a:ln w="12727">
              <a:solidFill>
                <a:srgbClr val="000000"/>
              </a:solidFill>
              <a:prstDash val="solid"/>
            </a:ln>
          </c:spPr>
          <c:dLbls>
            <c:spPr>
              <a:noFill/>
              <a:ln w="25454">
                <a:noFill/>
              </a:ln>
            </c:spPr>
            <c:txPr>
              <a:bodyPr/>
              <a:lstStyle/>
              <a:p>
                <a:pPr>
                  <a:defRPr sz="802"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Sheet1!$B$2:$B$2</c:f>
              <c:numCache>
                <c:formatCode>#,##0</c:formatCode>
                <c:ptCount val="1"/>
                <c:pt idx="0">
                  <c:v>0</c:v>
                </c:pt>
              </c:numCache>
            </c:numRef>
          </c:val>
        </c:ser>
        <c:ser>
          <c:idx val="1"/>
          <c:order val="1"/>
          <c:tx>
            <c:strRef>
              <c:f>Sheet1!$C$1</c:f>
              <c:strCache>
                <c:ptCount val="1"/>
                <c:pt idx="0">
                  <c:v>Izdaci za nefin.imovinu</c:v>
                </c:pt>
              </c:strCache>
            </c:strRef>
          </c:tx>
          <c:spPr>
            <a:solidFill>
              <a:srgbClr val="808080"/>
            </a:solidFill>
            <a:ln w="12727">
              <a:solidFill>
                <a:srgbClr val="000000"/>
              </a:solidFill>
              <a:prstDash val="solid"/>
            </a:ln>
          </c:spPr>
          <c:dLbls>
            <c:dLbl>
              <c:idx val="0"/>
              <c:layout>
                <c:manualLayout>
                  <c:x val="-5.699927890731391E-3"/>
                  <c:y val="3.564003564003565E-2"/>
                </c:manualLayout>
              </c:layout>
              <c:dLblPos val="outEnd"/>
              <c:showVal val="1"/>
              <c:showSerName val="1"/>
            </c:dLbl>
            <c:spPr>
              <a:noFill/>
              <a:ln w="25454">
                <a:noFill/>
              </a:ln>
            </c:spPr>
            <c:txPr>
              <a:bodyPr/>
              <a:lstStyle/>
              <a:p>
                <a:pPr>
                  <a:defRPr sz="802"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Sheet1!$C$2:$C$2</c:f>
              <c:numCache>
                <c:formatCode>#,##0</c:formatCode>
                <c:ptCount val="1"/>
                <c:pt idx="0">
                  <c:v>1687000</c:v>
                </c:pt>
              </c:numCache>
            </c:numRef>
          </c:val>
        </c:ser>
        <c:ser>
          <c:idx val="2"/>
          <c:order val="2"/>
          <c:tx>
            <c:strRef>
              <c:f>Sheet1!$D$1</c:f>
              <c:strCache>
                <c:ptCount val="1"/>
                <c:pt idx="0">
                  <c:v>Neto nabavka nefin.imovine</c:v>
                </c:pt>
              </c:strCache>
            </c:strRef>
          </c:tx>
          <c:spPr>
            <a:pattFill prst="pct5">
              <a:fgClr>
                <a:srgbClr val="000000"/>
              </a:fgClr>
              <a:bgClr>
                <a:srgbClr val="FFFFFF"/>
              </a:bgClr>
            </a:pattFill>
            <a:ln w="12727">
              <a:solidFill>
                <a:srgbClr val="000000"/>
              </a:solidFill>
              <a:prstDash val="solid"/>
            </a:ln>
          </c:spPr>
          <c:dLbls>
            <c:dLbl>
              <c:idx val="0"/>
              <c:layout>
                <c:manualLayout>
                  <c:x val="-2.2867578869402412E-3"/>
                  <c:y val="0.17480299442916294"/>
                </c:manualLayout>
              </c:layout>
              <c:tx>
                <c:rich>
                  <a:bodyPr/>
                  <a:lstStyle/>
                  <a:p>
                    <a:r>
                      <a:rPr lang="hr-HR"/>
                      <a:t>Neto nabavka nefinancijske imovine;               -1.687.000</a:t>
                    </a:r>
                  </a:p>
                </c:rich>
              </c:tx>
              <c:dLblPos val="outEnd"/>
            </c:dLbl>
            <c:spPr>
              <a:noFill/>
              <a:ln w="25454">
                <a:noFill/>
              </a:ln>
            </c:spPr>
            <c:txPr>
              <a:bodyPr/>
              <a:lstStyle/>
              <a:p>
                <a:pPr>
                  <a:defRPr sz="802"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Sheet1!$D$2:$D$2</c:f>
              <c:numCache>
                <c:formatCode>#,##0</c:formatCode>
                <c:ptCount val="1"/>
                <c:pt idx="0">
                  <c:v>-1687000</c:v>
                </c:pt>
              </c:numCache>
            </c:numRef>
          </c:val>
        </c:ser>
        <c:axId val="74272768"/>
        <c:axId val="74274304"/>
      </c:barChart>
      <c:catAx>
        <c:axId val="74272768"/>
        <c:scaling>
          <c:orientation val="minMax"/>
        </c:scaling>
        <c:axPos val="b"/>
        <c:numFmt formatCode="General" sourceLinked="1"/>
        <c:tickLblPos val="nextTo"/>
        <c:spPr>
          <a:ln w="3182">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sr-Latn-CS"/>
          </a:p>
        </c:txPr>
        <c:crossAx val="74274304"/>
        <c:crosses val="autoZero"/>
        <c:auto val="1"/>
        <c:lblAlgn val="ctr"/>
        <c:lblOffset val="100"/>
        <c:tickLblSkip val="1"/>
        <c:tickMarkSkip val="1"/>
      </c:catAx>
      <c:valAx>
        <c:axId val="74274304"/>
        <c:scaling>
          <c:orientation val="minMax"/>
        </c:scaling>
        <c:axPos val="l"/>
        <c:majorGridlines>
          <c:spPr>
            <a:ln w="3182">
              <a:solidFill>
                <a:srgbClr val="000000"/>
              </a:solidFill>
              <a:prstDash val="solid"/>
            </a:ln>
          </c:spPr>
        </c:majorGridlines>
        <c:numFmt formatCode="#,##0" sourceLinked="0"/>
        <c:tickLblPos val="nextTo"/>
        <c:spPr>
          <a:ln w="3182">
            <a:solidFill>
              <a:srgbClr val="000000"/>
            </a:solidFill>
            <a:prstDash val="solid"/>
          </a:ln>
        </c:spPr>
        <c:txPr>
          <a:bodyPr rot="0" vert="horz"/>
          <a:lstStyle/>
          <a:p>
            <a:pPr>
              <a:defRPr sz="802" b="0" i="0" u="none" strike="noStrike" baseline="0">
                <a:solidFill>
                  <a:srgbClr val="000000"/>
                </a:solidFill>
                <a:latin typeface="Calibri"/>
                <a:ea typeface="Calibri"/>
                <a:cs typeface="Calibri"/>
              </a:defRPr>
            </a:pPr>
            <a:endParaRPr lang="sr-Latn-CS"/>
          </a:p>
        </c:txPr>
        <c:crossAx val="74272768"/>
        <c:crosses val="autoZero"/>
        <c:crossBetween val="between"/>
      </c:valAx>
      <c:spPr>
        <a:noFill/>
        <a:ln w="25454">
          <a:noFill/>
        </a:ln>
      </c:spPr>
    </c:plotArea>
    <c:plotVisOnly val="1"/>
    <c:dispBlanksAs val="gap"/>
  </c:chart>
  <c:spPr>
    <a:noFill/>
    <a:ln>
      <a:noFill/>
    </a:ln>
  </c:spPr>
  <c:txPr>
    <a:bodyPr/>
    <a:lstStyle/>
    <a:p>
      <a:pPr>
        <a:defRPr sz="952" b="1" i="0" u="none" strike="noStrike" baseline="0">
          <a:solidFill>
            <a:srgbClr val="000000"/>
          </a:solidFill>
          <a:latin typeface="Calibri"/>
          <a:ea typeface="Calibri"/>
          <a:cs typeface="Calibri"/>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18604651162790756"/>
          <c:y val="9.8130841121495949E-2"/>
          <c:w val="0.79069767441860772"/>
          <c:h val="0.81308411214953524"/>
        </c:manualLayout>
      </c:layout>
      <c:barChart>
        <c:barDir val="col"/>
        <c:grouping val="clustered"/>
        <c:ser>
          <c:idx val="0"/>
          <c:order val="0"/>
          <c:tx>
            <c:strRef>
              <c:f>Sheet1!$B$1</c:f>
              <c:strCache>
                <c:ptCount val="1"/>
                <c:pt idx="0">
                  <c:v>Tekući suficit</c:v>
                </c:pt>
              </c:strCache>
            </c:strRef>
          </c:tx>
          <c:spPr>
            <a:solidFill>
              <a:srgbClr val="808080"/>
            </a:solidFill>
            <a:ln w="12696">
              <a:solidFill>
                <a:srgbClr val="000000"/>
              </a:solidFill>
              <a:prstDash val="solid"/>
            </a:ln>
          </c:spPr>
          <c:dLbls>
            <c:spPr>
              <a:noFill/>
              <a:ln w="25392">
                <a:noFill/>
              </a:ln>
            </c:spPr>
            <c:txPr>
              <a:bodyPr/>
              <a:lstStyle/>
              <a:p>
                <a:pPr>
                  <a:defRPr sz="800"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Sheet1!$B$2:$B$2</c:f>
              <c:numCache>
                <c:formatCode>#,##0</c:formatCode>
                <c:ptCount val="1"/>
                <c:pt idx="0">
                  <c:v>2208330</c:v>
                </c:pt>
              </c:numCache>
            </c:numRef>
          </c:val>
        </c:ser>
        <c:ser>
          <c:idx val="1"/>
          <c:order val="1"/>
          <c:tx>
            <c:strRef>
              <c:f>Sheet1!$C$1</c:f>
              <c:strCache>
                <c:ptCount val="1"/>
                <c:pt idx="0">
                  <c:v>Neto nabavka nef.imovine</c:v>
                </c:pt>
              </c:strCache>
            </c:strRef>
          </c:tx>
          <c:spPr>
            <a:solidFill>
              <a:srgbClr val="333333"/>
            </a:solidFill>
            <a:ln w="12696">
              <a:solidFill>
                <a:srgbClr val="000000"/>
              </a:solidFill>
              <a:prstDash val="solid"/>
            </a:ln>
          </c:spPr>
          <c:dLbls>
            <c:dLbl>
              <c:idx val="0"/>
              <c:layout>
                <c:manualLayout>
                  <c:x val="0.17373630861977749"/>
                  <c:y val="4.6085379806496164E-2"/>
                </c:manualLayout>
              </c:layout>
              <c:tx>
                <c:rich>
                  <a:bodyPr/>
                  <a:lstStyle/>
                  <a:p>
                    <a:r>
                      <a:rPr lang="en-US"/>
                      <a:t>Neto nabavka nef.imovine; </a:t>
                    </a:r>
                    <a:r>
                      <a:rPr lang="hr-HR"/>
                      <a:t>     </a:t>
                    </a:r>
                    <a:r>
                      <a:rPr lang="en-US"/>
                      <a:t>-1.</a:t>
                    </a:r>
                    <a:r>
                      <a:rPr lang="hr-BA"/>
                      <a:t>687.000</a:t>
                    </a:r>
                    <a:endParaRPr lang="en-US"/>
                  </a:p>
                </c:rich>
              </c:tx>
              <c:dLblPos val="outEnd"/>
              <c:showVal val="1"/>
              <c:showSerName val="1"/>
            </c:dLbl>
            <c:spPr>
              <a:noFill/>
              <a:ln w="25392">
                <a:noFill/>
              </a:ln>
            </c:spPr>
            <c:txPr>
              <a:bodyPr/>
              <a:lstStyle/>
              <a:p>
                <a:pPr>
                  <a:defRPr sz="800"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Sheet1!$C$2:$C$2</c:f>
              <c:numCache>
                <c:formatCode>#,##0</c:formatCode>
                <c:ptCount val="1"/>
                <c:pt idx="0">
                  <c:v>-1687000</c:v>
                </c:pt>
              </c:numCache>
            </c:numRef>
          </c:val>
        </c:ser>
        <c:ser>
          <c:idx val="2"/>
          <c:order val="2"/>
          <c:tx>
            <c:strRef>
              <c:f>Sheet1!$D$1</c:f>
              <c:strCache>
                <c:ptCount val="1"/>
                <c:pt idx="0">
                  <c:v>Ukupan suficit</c:v>
                </c:pt>
              </c:strCache>
            </c:strRef>
          </c:tx>
          <c:spPr>
            <a:pattFill prst="dkDnDiag">
              <a:fgClr>
                <a:srgbClr val="000000"/>
              </a:fgClr>
              <a:bgClr>
                <a:srgbClr val="FFFFFF"/>
              </a:bgClr>
            </a:pattFill>
            <a:ln w="12696">
              <a:solidFill>
                <a:srgbClr val="000000"/>
              </a:solidFill>
              <a:prstDash val="solid"/>
            </a:ln>
          </c:spPr>
          <c:dLbls>
            <c:spPr>
              <a:noFill/>
              <a:ln w="25392">
                <a:noFill/>
              </a:ln>
            </c:spPr>
            <c:txPr>
              <a:bodyPr/>
              <a:lstStyle/>
              <a:p>
                <a:pPr>
                  <a:defRPr sz="800"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Sheet1!$D$2:$D$2</c:f>
              <c:numCache>
                <c:formatCode>#,##0</c:formatCode>
                <c:ptCount val="1"/>
                <c:pt idx="0">
                  <c:v>521330</c:v>
                </c:pt>
              </c:numCache>
            </c:numRef>
          </c:val>
        </c:ser>
        <c:axId val="111012864"/>
        <c:axId val="111149824"/>
      </c:barChart>
      <c:catAx>
        <c:axId val="111012864"/>
        <c:scaling>
          <c:orientation val="minMax"/>
        </c:scaling>
        <c:axPos val="b"/>
        <c:numFmt formatCode="General" sourceLinked="1"/>
        <c:tickLblPos val="nextTo"/>
        <c:spPr>
          <a:ln w="3174">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sr-Latn-CS"/>
          </a:p>
        </c:txPr>
        <c:crossAx val="111149824"/>
        <c:crosses val="autoZero"/>
        <c:auto val="1"/>
        <c:lblAlgn val="ctr"/>
        <c:lblOffset val="100"/>
        <c:tickLblSkip val="1"/>
        <c:tickMarkSkip val="1"/>
      </c:catAx>
      <c:valAx>
        <c:axId val="111149824"/>
        <c:scaling>
          <c:orientation val="minMax"/>
        </c:scaling>
        <c:axPos val="l"/>
        <c:majorGridlines>
          <c:spPr>
            <a:ln w="3174">
              <a:solidFill>
                <a:srgbClr val="000000"/>
              </a:solidFill>
              <a:prstDash val="solid"/>
            </a:ln>
          </c:spPr>
        </c:majorGridlines>
        <c:numFmt formatCode="#,##0" sourceLinked="0"/>
        <c:tickLblPos val="nextTo"/>
        <c:spPr>
          <a:ln w="3174">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sr-Latn-CS"/>
          </a:p>
        </c:txPr>
        <c:crossAx val="111012864"/>
        <c:crosses val="autoZero"/>
        <c:crossBetween val="between"/>
      </c:valAx>
      <c:spPr>
        <a:noFill/>
        <a:ln w="25392">
          <a:noFill/>
        </a:ln>
      </c:spPr>
    </c:plotArea>
    <c:plotVisOnly val="1"/>
    <c:dispBlanksAs val="gap"/>
  </c:chart>
  <c:spPr>
    <a:noFill/>
    <a:ln>
      <a:noFill/>
    </a:ln>
  </c:spPr>
  <c:txPr>
    <a:bodyPr/>
    <a:lstStyle/>
    <a:p>
      <a:pPr>
        <a:defRPr sz="950" b="1" i="0" u="none" strike="noStrike" baseline="0">
          <a:solidFill>
            <a:srgbClr val="000000"/>
          </a:solidFill>
          <a:latin typeface="Calibri"/>
          <a:ea typeface="Calibri"/>
          <a:cs typeface="Calibri"/>
        </a:defRPr>
      </a:pPr>
      <a:endParaRPr lang="sr-Latn-C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16279069767441864"/>
          <c:y val="9.8130841121495949E-2"/>
          <c:w val="0.81395348837209303"/>
          <c:h val="0.81308411214953524"/>
        </c:manualLayout>
      </c:layout>
      <c:barChart>
        <c:barDir val="col"/>
        <c:grouping val="clustered"/>
        <c:ser>
          <c:idx val="0"/>
          <c:order val="0"/>
          <c:tx>
            <c:strRef>
              <c:f>Sheet1!$B$1</c:f>
              <c:strCache>
                <c:ptCount val="1"/>
                <c:pt idx="0">
                  <c:v>Primici od fin.imovine</c:v>
                </c:pt>
              </c:strCache>
            </c:strRef>
          </c:tx>
          <c:spPr>
            <a:solidFill>
              <a:srgbClr val="9999FF"/>
            </a:solidFill>
            <a:ln w="12696">
              <a:solidFill>
                <a:srgbClr val="000000"/>
              </a:solidFill>
              <a:prstDash val="solid"/>
            </a:ln>
          </c:spPr>
          <c:dLbls>
            <c:spPr>
              <a:noFill/>
              <a:ln w="25392">
                <a:noFill/>
              </a:ln>
            </c:spPr>
            <c:txPr>
              <a:bodyPr/>
              <a:lstStyle/>
              <a:p>
                <a:pPr>
                  <a:defRPr sz="800"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Sheet1!$B$2:$B$2</c:f>
              <c:numCache>
                <c:formatCode>#,##0</c:formatCode>
                <c:ptCount val="1"/>
                <c:pt idx="0">
                  <c:v>0</c:v>
                </c:pt>
              </c:numCache>
            </c:numRef>
          </c:val>
        </c:ser>
        <c:ser>
          <c:idx val="1"/>
          <c:order val="1"/>
          <c:tx>
            <c:strRef>
              <c:f>Sheet1!$C$1</c:f>
              <c:strCache>
                <c:ptCount val="1"/>
                <c:pt idx="0">
                  <c:v>Otplate dugova</c:v>
                </c:pt>
              </c:strCache>
            </c:strRef>
          </c:tx>
          <c:spPr>
            <a:solidFill>
              <a:srgbClr val="C0C0C0"/>
            </a:solidFill>
            <a:ln w="12696">
              <a:solidFill>
                <a:srgbClr val="000000"/>
              </a:solidFill>
              <a:prstDash val="solid"/>
            </a:ln>
          </c:spPr>
          <c:dLbls>
            <c:dLbl>
              <c:idx val="0"/>
              <c:layout>
                <c:manualLayout>
                  <c:x val="3.7202164546272419E-2"/>
                  <c:y val="0.13469518413002202"/>
                </c:manualLayout>
              </c:layout>
              <c:dLblPos val="outEnd"/>
              <c:showVal val="1"/>
              <c:showSerName val="1"/>
            </c:dLbl>
            <c:spPr>
              <a:noFill/>
              <a:ln w="25392">
                <a:noFill/>
              </a:ln>
            </c:spPr>
            <c:txPr>
              <a:bodyPr/>
              <a:lstStyle/>
              <a:p>
                <a:pPr>
                  <a:defRPr sz="800"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Sheet1!$C$2:$C$2</c:f>
              <c:numCache>
                <c:formatCode>#,##0</c:formatCode>
                <c:ptCount val="1"/>
                <c:pt idx="0">
                  <c:v>517270</c:v>
                </c:pt>
              </c:numCache>
            </c:numRef>
          </c:val>
        </c:ser>
        <c:ser>
          <c:idx val="2"/>
          <c:order val="2"/>
          <c:tx>
            <c:strRef>
              <c:f>Sheet1!$D$1</c:f>
              <c:strCache>
                <c:ptCount val="1"/>
                <c:pt idx="0">
                  <c:v>Neto financiranje</c:v>
                </c:pt>
              </c:strCache>
            </c:strRef>
          </c:tx>
          <c:spPr>
            <a:pattFill prst="dkVert">
              <a:fgClr>
                <a:srgbClr val="000000"/>
              </a:fgClr>
              <a:bgClr>
                <a:srgbClr val="FFFFFF"/>
              </a:bgClr>
            </a:pattFill>
            <a:ln w="12696">
              <a:solidFill>
                <a:srgbClr val="000000"/>
              </a:solidFill>
              <a:prstDash val="solid"/>
            </a:ln>
          </c:spPr>
          <c:dLbls>
            <c:dLbl>
              <c:idx val="0"/>
              <c:tx>
                <c:rich>
                  <a:bodyPr/>
                  <a:lstStyle/>
                  <a:p>
                    <a:r>
                      <a:rPr lang="en-US"/>
                      <a:t>Neto financiranje; </a:t>
                    </a:r>
                    <a:r>
                      <a:rPr lang="hr-HR"/>
                      <a:t>     </a:t>
                    </a:r>
                    <a:r>
                      <a:rPr lang="en-US"/>
                      <a:t>-5</a:t>
                    </a:r>
                    <a:r>
                      <a:rPr lang="hr-BA"/>
                      <a:t>17.270</a:t>
                    </a:r>
                    <a:endParaRPr lang="en-US"/>
                  </a:p>
                </c:rich>
              </c:tx>
              <c:showVal val="1"/>
              <c:showSerName val="1"/>
            </c:dLbl>
            <c:spPr>
              <a:noFill/>
              <a:ln w="25392">
                <a:noFill/>
              </a:ln>
            </c:spPr>
            <c:txPr>
              <a:bodyPr/>
              <a:lstStyle/>
              <a:p>
                <a:pPr>
                  <a:defRPr sz="800"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Sheet1!$D$2:$D$2</c:f>
              <c:numCache>
                <c:formatCode>#,##0</c:formatCode>
                <c:ptCount val="1"/>
                <c:pt idx="0">
                  <c:v>-517270</c:v>
                </c:pt>
              </c:numCache>
            </c:numRef>
          </c:val>
        </c:ser>
        <c:axId val="76093696"/>
        <c:axId val="76107776"/>
      </c:barChart>
      <c:catAx>
        <c:axId val="76093696"/>
        <c:scaling>
          <c:orientation val="minMax"/>
        </c:scaling>
        <c:axPos val="b"/>
        <c:numFmt formatCode="General" sourceLinked="1"/>
        <c:tickLblPos val="nextTo"/>
        <c:spPr>
          <a:ln w="3174">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sr-Latn-CS"/>
          </a:p>
        </c:txPr>
        <c:crossAx val="76107776"/>
        <c:crosses val="autoZero"/>
        <c:auto val="1"/>
        <c:lblAlgn val="ctr"/>
        <c:lblOffset val="100"/>
        <c:tickLblSkip val="1"/>
        <c:tickMarkSkip val="1"/>
      </c:catAx>
      <c:valAx>
        <c:axId val="76107776"/>
        <c:scaling>
          <c:orientation val="minMax"/>
        </c:scaling>
        <c:axPos val="l"/>
        <c:majorGridlines>
          <c:spPr>
            <a:ln w="3174">
              <a:solidFill>
                <a:srgbClr val="000000"/>
              </a:solidFill>
              <a:prstDash val="solid"/>
            </a:ln>
          </c:spPr>
        </c:majorGridlines>
        <c:numFmt formatCode="#,##0" sourceLinked="0"/>
        <c:tickLblPos val="nextTo"/>
        <c:spPr>
          <a:ln w="3174">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sr-Latn-CS"/>
          </a:p>
        </c:txPr>
        <c:crossAx val="76093696"/>
        <c:crosses val="autoZero"/>
        <c:crossBetween val="between"/>
      </c:valAx>
      <c:spPr>
        <a:noFill/>
        <a:ln w="25392">
          <a:noFill/>
        </a:ln>
      </c:spPr>
    </c:plotArea>
    <c:plotVisOnly val="1"/>
    <c:dispBlanksAs val="gap"/>
  </c:chart>
  <c:spPr>
    <a:noFill/>
    <a:ln>
      <a:noFill/>
    </a:ln>
  </c:spPr>
  <c:txPr>
    <a:bodyPr/>
    <a:lstStyle/>
    <a:p>
      <a:pPr>
        <a:defRPr sz="950" b="1" i="0" u="none" strike="noStrike" baseline="0">
          <a:solidFill>
            <a:srgbClr val="000000"/>
          </a:solidFill>
          <a:latin typeface="Calibri"/>
          <a:ea typeface="Calibri"/>
          <a:cs typeface="Calibri"/>
        </a:defRPr>
      </a:pPr>
      <a:endParaRPr lang="sr-Latn-C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0.16279069767441864"/>
          <c:y val="9.8130841121495949E-2"/>
          <c:w val="0.81395348837209303"/>
          <c:h val="0.81308411214953524"/>
        </c:manualLayout>
      </c:layout>
      <c:barChart>
        <c:barDir val="col"/>
        <c:grouping val="clustered"/>
        <c:ser>
          <c:idx val="0"/>
          <c:order val="0"/>
          <c:tx>
            <c:strRef>
              <c:f>Sheet1!$B$1</c:f>
              <c:strCache>
                <c:ptCount val="1"/>
                <c:pt idx="0">
                  <c:v>Ukupan suficit</c:v>
                </c:pt>
              </c:strCache>
            </c:strRef>
          </c:tx>
          <c:spPr>
            <a:solidFill>
              <a:srgbClr val="808080"/>
            </a:solidFill>
            <a:ln w="12696">
              <a:solidFill>
                <a:srgbClr val="000000"/>
              </a:solidFill>
              <a:prstDash val="solid"/>
            </a:ln>
          </c:spPr>
          <c:dLbls>
            <c:spPr>
              <a:noFill/>
              <a:ln w="25392">
                <a:noFill/>
              </a:ln>
            </c:spPr>
            <c:txPr>
              <a:bodyPr/>
              <a:lstStyle/>
              <a:p>
                <a:pPr>
                  <a:defRPr sz="800"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Sheet1!$B$2:$B$2</c:f>
              <c:numCache>
                <c:formatCode>#,##0</c:formatCode>
                <c:ptCount val="1"/>
                <c:pt idx="0">
                  <c:v>521330</c:v>
                </c:pt>
              </c:numCache>
            </c:numRef>
          </c:val>
        </c:ser>
        <c:ser>
          <c:idx val="1"/>
          <c:order val="1"/>
          <c:tx>
            <c:strRef>
              <c:f>Sheet1!$C$1</c:f>
              <c:strCache>
                <c:ptCount val="1"/>
                <c:pt idx="0">
                  <c:v>Neto financiranje</c:v>
                </c:pt>
              </c:strCache>
            </c:strRef>
          </c:tx>
          <c:spPr>
            <a:pattFill prst="dotDmnd">
              <a:fgClr>
                <a:srgbClr val="000000"/>
              </a:fgClr>
              <a:bgClr>
                <a:srgbClr val="FFFFFF"/>
              </a:bgClr>
            </a:pattFill>
            <a:ln w="12696">
              <a:solidFill>
                <a:srgbClr val="000000"/>
              </a:solidFill>
              <a:prstDash val="solid"/>
            </a:ln>
          </c:spPr>
          <c:dLbls>
            <c:dLbl>
              <c:idx val="0"/>
              <c:tx>
                <c:rich>
                  <a:bodyPr/>
                  <a:lstStyle/>
                  <a:p>
                    <a:r>
                      <a:rPr lang="en-US"/>
                      <a:t>Neto financiranje; </a:t>
                    </a:r>
                    <a:r>
                      <a:rPr lang="hr-HR"/>
                      <a:t>     </a:t>
                    </a:r>
                    <a:r>
                      <a:rPr lang="en-US"/>
                      <a:t>-5</a:t>
                    </a:r>
                    <a:r>
                      <a:rPr lang="hr-BA"/>
                      <a:t>17.270</a:t>
                    </a:r>
                    <a:endParaRPr lang="en-US"/>
                  </a:p>
                </c:rich>
              </c:tx>
              <c:showVal val="1"/>
              <c:showSerName val="1"/>
            </c:dLbl>
            <c:spPr>
              <a:noFill/>
              <a:ln w="25392">
                <a:noFill/>
              </a:ln>
            </c:spPr>
            <c:txPr>
              <a:bodyPr/>
              <a:lstStyle/>
              <a:p>
                <a:pPr>
                  <a:defRPr sz="800"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Sheet1!$C$2:$C$2</c:f>
              <c:numCache>
                <c:formatCode>#,##0</c:formatCode>
                <c:ptCount val="1"/>
                <c:pt idx="0">
                  <c:v>-517270</c:v>
                </c:pt>
              </c:numCache>
            </c:numRef>
          </c:val>
        </c:ser>
        <c:ser>
          <c:idx val="2"/>
          <c:order val="2"/>
          <c:tx>
            <c:strRef>
              <c:f>Sheet1!$D$1</c:f>
              <c:strCache>
                <c:ptCount val="1"/>
                <c:pt idx="0">
                  <c:v>Fin.rezultat/pokriće deficita</c:v>
                </c:pt>
              </c:strCache>
            </c:strRef>
          </c:tx>
          <c:spPr>
            <a:solidFill>
              <a:srgbClr val="FFFFCC"/>
            </a:solidFill>
            <a:ln w="12696">
              <a:solidFill>
                <a:srgbClr val="000000"/>
              </a:solidFill>
              <a:prstDash val="solid"/>
            </a:ln>
          </c:spPr>
          <c:dLbls>
            <c:spPr>
              <a:noFill/>
              <a:ln w="25392">
                <a:noFill/>
              </a:ln>
            </c:spPr>
            <c:txPr>
              <a:bodyPr/>
              <a:lstStyle/>
              <a:p>
                <a:pPr>
                  <a:defRPr sz="800" b="0" i="0" u="none" strike="noStrike" baseline="0">
                    <a:solidFill>
                      <a:srgbClr val="000000"/>
                    </a:solidFill>
                    <a:latin typeface="Calibri"/>
                    <a:ea typeface="Calibri"/>
                    <a:cs typeface="Calibri"/>
                  </a:defRPr>
                </a:pPr>
                <a:endParaRPr lang="sr-Latn-CS"/>
              </a:p>
            </c:txPr>
            <c:showVal val="1"/>
            <c:showSerName val="1"/>
          </c:dLbls>
          <c:cat>
            <c:numRef>
              <c:f>Sheet1!$A$2:$A$2</c:f>
              <c:numCache>
                <c:formatCode>General</c:formatCode>
                <c:ptCount val="1"/>
              </c:numCache>
            </c:numRef>
          </c:cat>
          <c:val>
            <c:numRef>
              <c:f>Sheet1!$D$2:$D$2</c:f>
              <c:numCache>
                <c:formatCode>#,##0</c:formatCode>
                <c:ptCount val="1"/>
                <c:pt idx="0">
                  <c:v>4060</c:v>
                </c:pt>
              </c:numCache>
            </c:numRef>
          </c:val>
        </c:ser>
        <c:axId val="76146176"/>
        <c:axId val="76147712"/>
      </c:barChart>
      <c:catAx>
        <c:axId val="76146176"/>
        <c:scaling>
          <c:orientation val="minMax"/>
        </c:scaling>
        <c:axPos val="b"/>
        <c:numFmt formatCode="General" sourceLinked="1"/>
        <c:tickLblPos val="nextTo"/>
        <c:spPr>
          <a:ln w="3174">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sr-Latn-CS"/>
          </a:p>
        </c:txPr>
        <c:crossAx val="76147712"/>
        <c:crosses val="autoZero"/>
        <c:auto val="1"/>
        <c:lblAlgn val="ctr"/>
        <c:lblOffset val="100"/>
        <c:tickLblSkip val="1"/>
        <c:tickMarkSkip val="1"/>
      </c:catAx>
      <c:valAx>
        <c:axId val="76147712"/>
        <c:scaling>
          <c:orientation val="minMax"/>
        </c:scaling>
        <c:axPos val="l"/>
        <c:majorGridlines>
          <c:spPr>
            <a:ln w="3174">
              <a:solidFill>
                <a:srgbClr val="000000"/>
              </a:solidFill>
              <a:prstDash val="solid"/>
            </a:ln>
          </c:spPr>
        </c:majorGridlines>
        <c:numFmt formatCode="#,##0" sourceLinked="0"/>
        <c:tickLblPos val="nextTo"/>
        <c:spPr>
          <a:ln w="3174">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sr-Latn-CS"/>
          </a:p>
        </c:txPr>
        <c:crossAx val="76146176"/>
        <c:crosses val="autoZero"/>
        <c:crossBetween val="between"/>
      </c:valAx>
      <c:spPr>
        <a:noFill/>
        <a:ln w="25392">
          <a:noFill/>
        </a:ln>
      </c:spPr>
    </c:plotArea>
    <c:plotVisOnly val="1"/>
    <c:dispBlanksAs val="gap"/>
  </c:chart>
  <c:spPr>
    <a:noFill/>
    <a:ln>
      <a:noFill/>
    </a:ln>
  </c:spPr>
  <c:txPr>
    <a:bodyPr/>
    <a:lstStyle/>
    <a:p>
      <a:pPr>
        <a:defRPr sz="950" b="1" i="0" u="none" strike="noStrike" baseline="0">
          <a:solidFill>
            <a:srgbClr val="000000"/>
          </a:solidFill>
          <a:latin typeface="Calibri"/>
          <a:ea typeface="Calibri"/>
          <a:cs typeface="Calibri"/>
        </a:defRPr>
      </a:pPr>
      <a:endParaRPr lang="sr-Latn-CS"/>
    </a:p>
  </c:tx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7C906-21C6-43E0-954C-4F5746B1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5884</Words>
  <Characters>33541</Characters>
  <Application>Microsoft Office Word</Application>
  <DocSecurity>0</DocSecurity>
  <Lines>279</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OBRAZLOŽENJE NACRTA PRORAČUNA</vt:lpstr>
      <vt:lpstr>OBRAZLOŽENJE NACRTA PRORAČUNA</vt:lpstr>
    </vt:vector>
  </TitlesOfParts>
  <Company>Deftones</Company>
  <LinksUpToDate>false</LinksUpToDate>
  <CharactersWithSpaces>39347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NACRTA PRORAČUNA</dc:title>
  <dc:creator>operater</dc:creator>
  <cp:lastModifiedBy>Ružica Živković</cp:lastModifiedBy>
  <cp:revision>9</cp:revision>
  <cp:lastPrinted>2019-12-16T07:19:00Z</cp:lastPrinted>
  <dcterms:created xsi:type="dcterms:W3CDTF">2020-12-15T12:43:00Z</dcterms:created>
  <dcterms:modified xsi:type="dcterms:W3CDTF">2020-12-18T13:04:00Z</dcterms:modified>
</cp:coreProperties>
</file>