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5" w:rsidRPr="00A12B5C" w:rsidRDefault="00C84C95" w:rsidP="00C84C95">
      <w:pPr>
        <w:jc w:val="center"/>
        <w:rPr>
          <w:b/>
        </w:rPr>
      </w:pPr>
      <w:r w:rsidRPr="00A12B5C">
        <w:rPr>
          <w:b/>
        </w:rPr>
        <w:t>BOSNA I HERCEGOVINA</w:t>
      </w:r>
    </w:p>
    <w:p w:rsidR="00C84C95" w:rsidRPr="00A12B5C" w:rsidRDefault="00C84C95" w:rsidP="00C84C95">
      <w:pPr>
        <w:jc w:val="center"/>
        <w:rPr>
          <w:b/>
        </w:rPr>
      </w:pPr>
      <w:r w:rsidRPr="00A12B5C">
        <w:rPr>
          <w:b/>
        </w:rPr>
        <w:t>FEDERACIJA BOSNE I HERCEGOVINE</w:t>
      </w:r>
    </w:p>
    <w:p w:rsidR="00C84C95" w:rsidRPr="00A12B5C" w:rsidRDefault="00C84C95" w:rsidP="00C84C95">
      <w:pPr>
        <w:jc w:val="center"/>
        <w:rPr>
          <w:b/>
        </w:rPr>
      </w:pPr>
      <w:r w:rsidRPr="00A12B5C">
        <w:rPr>
          <w:b/>
        </w:rPr>
        <w:t>ŽUPANIJA POSAVSKA</w:t>
      </w:r>
    </w:p>
    <w:p w:rsidR="00C84C95" w:rsidRPr="00A12B5C" w:rsidRDefault="00C84C95" w:rsidP="00C84C95">
      <w:pPr>
        <w:jc w:val="center"/>
        <w:rPr>
          <w:b/>
        </w:rPr>
      </w:pPr>
      <w:r w:rsidRPr="00A12B5C">
        <w:rPr>
          <w:b/>
        </w:rPr>
        <w:t>VLADA</w:t>
      </w: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  <w:rPr>
          <w:b/>
          <w:sz w:val="32"/>
          <w:szCs w:val="32"/>
        </w:rPr>
      </w:pPr>
      <w:r w:rsidRPr="00A12B5C">
        <w:rPr>
          <w:b/>
          <w:sz w:val="32"/>
          <w:szCs w:val="32"/>
        </w:rPr>
        <w:t>I Z V J E Š Ć E</w:t>
      </w: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  <w:rPr>
          <w:b/>
          <w:sz w:val="28"/>
          <w:szCs w:val="28"/>
        </w:rPr>
      </w:pPr>
      <w:r w:rsidRPr="00A12B5C">
        <w:rPr>
          <w:b/>
          <w:sz w:val="28"/>
          <w:szCs w:val="28"/>
        </w:rPr>
        <w:t>o izvrše</w:t>
      </w:r>
      <w:r w:rsidR="002159B2" w:rsidRPr="00A12B5C">
        <w:rPr>
          <w:b/>
          <w:sz w:val="28"/>
          <w:szCs w:val="28"/>
        </w:rPr>
        <w:t>nju Proračuna Županije Posavske</w:t>
      </w:r>
    </w:p>
    <w:p w:rsidR="00C84C95" w:rsidRPr="00A12B5C" w:rsidRDefault="009B127F" w:rsidP="00C84C95">
      <w:pPr>
        <w:jc w:val="center"/>
        <w:rPr>
          <w:b/>
          <w:sz w:val="28"/>
          <w:szCs w:val="28"/>
        </w:rPr>
      </w:pPr>
      <w:r w:rsidRPr="00A12B5C">
        <w:rPr>
          <w:b/>
          <w:sz w:val="28"/>
          <w:szCs w:val="28"/>
        </w:rPr>
        <w:t xml:space="preserve">za </w:t>
      </w:r>
      <w:r w:rsidR="00C84C95" w:rsidRPr="00A12B5C">
        <w:rPr>
          <w:b/>
          <w:sz w:val="28"/>
          <w:szCs w:val="28"/>
        </w:rPr>
        <w:t>201</w:t>
      </w:r>
      <w:r w:rsidR="00F84F57">
        <w:rPr>
          <w:b/>
          <w:sz w:val="28"/>
          <w:szCs w:val="28"/>
        </w:rPr>
        <w:t>9</w:t>
      </w:r>
      <w:r w:rsidR="00C84C95" w:rsidRPr="00A12B5C">
        <w:rPr>
          <w:b/>
          <w:sz w:val="28"/>
          <w:szCs w:val="28"/>
        </w:rPr>
        <w:t>. godin</w:t>
      </w:r>
      <w:r w:rsidR="00F80132" w:rsidRPr="00A12B5C">
        <w:rPr>
          <w:b/>
          <w:sz w:val="28"/>
          <w:szCs w:val="28"/>
        </w:rPr>
        <w:t>u</w:t>
      </w: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</w:p>
    <w:p w:rsidR="00C84C95" w:rsidRPr="00A12B5C" w:rsidRDefault="00C84C95" w:rsidP="00C84C95">
      <w:pPr>
        <w:jc w:val="center"/>
      </w:pPr>
      <w:r w:rsidRPr="00A12B5C">
        <w:t xml:space="preserve">Orašje, </w:t>
      </w:r>
      <w:r w:rsidR="002549C3">
        <w:t>ožujak</w:t>
      </w:r>
      <w:r w:rsidRPr="00A12B5C">
        <w:t xml:space="preserve"> 20</w:t>
      </w:r>
      <w:r w:rsidR="00F84F57">
        <w:t>20</w:t>
      </w:r>
      <w:r w:rsidRPr="00A12B5C">
        <w:t>. godine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851"/>
        <w:gridCol w:w="1477"/>
        <w:gridCol w:w="3960"/>
      </w:tblGrid>
      <w:tr w:rsidR="009554E4" w:rsidRPr="00A12B5C" w:rsidTr="00612567">
        <w:tc>
          <w:tcPr>
            <w:tcW w:w="3851" w:type="dxa"/>
            <w:vAlign w:val="center"/>
          </w:tcPr>
          <w:p w:rsidR="009554E4" w:rsidRPr="00A12B5C" w:rsidRDefault="009554E4" w:rsidP="00612567">
            <w:pPr>
              <w:pStyle w:val="Zaglavlje"/>
              <w:jc w:val="center"/>
            </w:pPr>
            <w:r w:rsidRPr="00A12B5C">
              <w:lastRenderedPageBreak/>
              <w:t>Bosna i Hercegovina</w:t>
            </w:r>
          </w:p>
          <w:p w:rsidR="009554E4" w:rsidRPr="00A12B5C" w:rsidRDefault="009554E4" w:rsidP="00612567">
            <w:pPr>
              <w:pStyle w:val="Zaglavlje"/>
              <w:jc w:val="center"/>
            </w:pPr>
            <w:r w:rsidRPr="00A12B5C">
              <w:t>Federacija Bosne i Hercegovine</w:t>
            </w:r>
          </w:p>
          <w:p w:rsidR="009554E4" w:rsidRPr="00A12B5C" w:rsidRDefault="009554E4" w:rsidP="00612567">
            <w:pPr>
              <w:pStyle w:val="Zaglavlje"/>
              <w:jc w:val="center"/>
            </w:pPr>
            <w:r w:rsidRPr="00A12B5C">
              <w:t>ŽUPANIJA POSAVSKA</w:t>
            </w:r>
          </w:p>
          <w:p w:rsidR="009554E4" w:rsidRPr="00A12B5C" w:rsidRDefault="009554E4" w:rsidP="00612567">
            <w:pPr>
              <w:pStyle w:val="Zaglavlje"/>
              <w:jc w:val="center"/>
            </w:pPr>
            <w:r w:rsidRPr="00A12B5C">
              <w:rPr>
                <w:b/>
              </w:rPr>
              <w:t>Ministarstvo financija</w:t>
            </w:r>
          </w:p>
        </w:tc>
        <w:tc>
          <w:tcPr>
            <w:tcW w:w="1477" w:type="dxa"/>
            <w:vAlign w:val="center"/>
          </w:tcPr>
          <w:p w:rsidR="009554E4" w:rsidRPr="00A12B5C" w:rsidRDefault="009554E4" w:rsidP="00612567">
            <w:pPr>
              <w:pStyle w:val="Zaglavlje"/>
              <w:jc w:val="center"/>
            </w:pPr>
            <w:r w:rsidRPr="00A12B5C">
              <w:rPr>
                <w:noProof/>
              </w:rPr>
              <w:drawing>
                <wp:inline distT="0" distB="0" distL="0" distR="0">
                  <wp:extent cx="753110" cy="824865"/>
                  <wp:effectExtent l="0" t="0" r="8890" b="0"/>
                  <wp:docPr id="1" name="Picture 1" descr="grb Županije Posavsk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 Posavsk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87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9554E4" w:rsidRPr="00A12B5C" w:rsidRDefault="009554E4" w:rsidP="00612567">
            <w:pPr>
              <w:pStyle w:val="Zaglavlje"/>
              <w:jc w:val="center"/>
            </w:pPr>
            <w:r w:rsidRPr="00A12B5C">
              <w:t>Bosnia and Herzegovina</w:t>
            </w:r>
          </w:p>
          <w:p w:rsidR="009554E4" w:rsidRPr="00A12B5C" w:rsidRDefault="009554E4" w:rsidP="00612567">
            <w:pPr>
              <w:pStyle w:val="Zaglavlje"/>
              <w:jc w:val="center"/>
            </w:pPr>
            <w:r w:rsidRPr="00A12B5C">
              <w:t>Federation of Bosnia and Herzegovina</w:t>
            </w:r>
          </w:p>
          <w:p w:rsidR="009554E4" w:rsidRPr="00A12B5C" w:rsidRDefault="009554E4" w:rsidP="00612567">
            <w:pPr>
              <w:pStyle w:val="Zaglavlje"/>
              <w:jc w:val="center"/>
            </w:pPr>
            <w:r w:rsidRPr="00A12B5C">
              <w:t>POSAVINA COUNTY</w:t>
            </w:r>
          </w:p>
          <w:p w:rsidR="009554E4" w:rsidRPr="00A12B5C" w:rsidRDefault="009554E4" w:rsidP="00612567">
            <w:pPr>
              <w:pStyle w:val="Zaglavlje"/>
              <w:jc w:val="center"/>
            </w:pPr>
            <w:r w:rsidRPr="00A12B5C">
              <w:rPr>
                <w:b/>
              </w:rPr>
              <w:t>Ministry of finance</w:t>
            </w:r>
          </w:p>
        </w:tc>
      </w:tr>
    </w:tbl>
    <w:p w:rsidR="009554E4" w:rsidRPr="00A12B5C" w:rsidRDefault="009554E4" w:rsidP="00C84C95">
      <w:pPr>
        <w:jc w:val="center"/>
      </w:pPr>
    </w:p>
    <w:p w:rsidR="009554E4" w:rsidRPr="00A12B5C" w:rsidRDefault="009554E4" w:rsidP="00C84C95">
      <w:pPr>
        <w:jc w:val="center"/>
      </w:pPr>
    </w:p>
    <w:p w:rsidR="009554E4" w:rsidRPr="00A12B5C" w:rsidRDefault="009554E4" w:rsidP="009554E4">
      <w:pPr>
        <w:tabs>
          <w:tab w:val="left" w:pos="900"/>
        </w:tabs>
        <w:jc w:val="center"/>
        <w:rPr>
          <w:b/>
        </w:rPr>
      </w:pPr>
    </w:p>
    <w:p w:rsidR="009554E4" w:rsidRPr="00A12B5C" w:rsidRDefault="009554E4" w:rsidP="009554E4">
      <w:pPr>
        <w:tabs>
          <w:tab w:val="left" w:pos="900"/>
        </w:tabs>
        <w:jc w:val="center"/>
        <w:rPr>
          <w:b/>
          <w:sz w:val="28"/>
          <w:szCs w:val="28"/>
        </w:rPr>
      </w:pPr>
      <w:r w:rsidRPr="00A12B5C">
        <w:rPr>
          <w:b/>
          <w:sz w:val="28"/>
          <w:szCs w:val="28"/>
        </w:rPr>
        <w:t>PREGLED</w:t>
      </w:r>
    </w:p>
    <w:p w:rsidR="00F80132" w:rsidRPr="00A12B5C" w:rsidRDefault="009554E4" w:rsidP="009554E4">
      <w:pPr>
        <w:tabs>
          <w:tab w:val="left" w:pos="900"/>
        </w:tabs>
        <w:jc w:val="center"/>
        <w:rPr>
          <w:b/>
        </w:rPr>
      </w:pPr>
      <w:r w:rsidRPr="00A12B5C">
        <w:rPr>
          <w:b/>
        </w:rPr>
        <w:t>ostvarenih prihoda</w:t>
      </w:r>
      <w:r w:rsidR="00973194" w:rsidRPr="00A12B5C">
        <w:rPr>
          <w:b/>
        </w:rPr>
        <w:t xml:space="preserve">, </w:t>
      </w:r>
      <w:r w:rsidRPr="00A12B5C">
        <w:rPr>
          <w:b/>
        </w:rPr>
        <w:t xml:space="preserve">primitaka </w:t>
      </w:r>
      <w:r w:rsidR="00973194" w:rsidRPr="00A12B5C">
        <w:rPr>
          <w:b/>
        </w:rPr>
        <w:t>i financiranja</w:t>
      </w:r>
      <w:r w:rsidR="009B3CE6" w:rsidRPr="00A12B5C">
        <w:rPr>
          <w:b/>
        </w:rPr>
        <w:t>,</w:t>
      </w:r>
      <w:r w:rsidR="00973194" w:rsidRPr="00A12B5C">
        <w:rPr>
          <w:b/>
        </w:rPr>
        <w:t xml:space="preserve"> </w:t>
      </w:r>
      <w:r w:rsidRPr="00A12B5C">
        <w:rPr>
          <w:b/>
        </w:rPr>
        <w:t xml:space="preserve">te rashoda i izdataka </w:t>
      </w:r>
    </w:p>
    <w:p w:rsidR="009554E4" w:rsidRPr="00A12B5C" w:rsidRDefault="009554E4" w:rsidP="009554E4">
      <w:pPr>
        <w:tabs>
          <w:tab w:val="left" w:pos="900"/>
        </w:tabs>
        <w:jc w:val="center"/>
      </w:pPr>
      <w:r w:rsidRPr="00A12B5C">
        <w:rPr>
          <w:b/>
        </w:rPr>
        <w:t>Proračuna Županije Posavske za 201</w:t>
      </w:r>
      <w:r w:rsidR="00E8411B">
        <w:rPr>
          <w:b/>
        </w:rPr>
        <w:t>9</w:t>
      </w:r>
      <w:r w:rsidRPr="00A12B5C">
        <w:rPr>
          <w:b/>
        </w:rPr>
        <w:t>. godin</w:t>
      </w:r>
      <w:r w:rsidR="00F80132" w:rsidRPr="00A12B5C">
        <w:rPr>
          <w:b/>
        </w:rPr>
        <w:t>u</w:t>
      </w:r>
    </w:p>
    <w:p w:rsidR="009554E4" w:rsidRPr="00A12B5C" w:rsidRDefault="009554E4" w:rsidP="009554E4">
      <w:pPr>
        <w:tabs>
          <w:tab w:val="left" w:pos="900"/>
        </w:tabs>
        <w:jc w:val="both"/>
      </w:pPr>
    </w:p>
    <w:p w:rsidR="009554E4" w:rsidRPr="00A12B5C" w:rsidRDefault="009554E4" w:rsidP="009554E4">
      <w:pPr>
        <w:tabs>
          <w:tab w:val="left" w:pos="900"/>
        </w:tabs>
        <w:jc w:val="both"/>
      </w:pPr>
    </w:p>
    <w:p w:rsidR="009554E4" w:rsidRPr="00A12B5C" w:rsidRDefault="009554E4" w:rsidP="009554E4">
      <w:pPr>
        <w:tabs>
          <w:tab w:val="left" w:pos="900"/>
        </w:tabs>
        <w:jc w:val="both"/>
      </w:pPr>
      <w:r w:rsidRPr="00A12B5C">
        <w:t>U 201</w:t>
      </w:r>
      <w:r w:rsidR="00E8411B">
        <w:t>9</w:t>
      </w:r>
      <w:r w:rsidRPr="00A12B5C">
        <w:t>. godin</w:t>
      </w:r>
      <w:r w:rsidR="00F80132" w:rsidRPr="00A12B5C">
        <w:t>i</w:t>
      </w:r>
      <w:r w:rsidRPr="00A12B5C">
        <w:t xml:space="preserve"> ukupno su ostvareni prihodi</w:t>
      </w:r>
      <w:r w:rsidR="00973194" w:rsidRPr="00A12B5C">
        <w:t>,</w:t>
      </w:r>
      <w:r w:rsidRPr="00A12B5C">
        <w:t xml:space="preserve"> primici</w:t>
      </w:r>
      <w:r w:rsidR="00973194" w:rsidRPr="00A12B5C">
        <w:t xml:space="preserve"> i financiranje</w:t>
      </w:r>
      <w:r w:rsidRPr="00A12B5C">
        <w:t xml:space="preserve"> u iznosu od </w:t>
      </w:r>
      <w:r w:rsidR="00E8411B">
        <w:t>42.053.671</w:t>
      </w:r>
      <w:r w:rsidRPr="00A12B5C">
        <w:t xml:space="preserve"> KM</w:t>
      </w:r>
      <w:r w:rsidR="00BA16A3" w:rsidRPr="00A12B5C">
        <w:t>,</w:t>
      </w:r>
      <w:r w:rsidR="009B127F" w:rsidRPr="00A12B5C">
        <w:t xml:space="preserve"> odnosno </w:t>
      </w:r>
      <w:r w:rsidR="00E8411B">
        <w:t>100,12</w:t>
      </w:r>
      <w:r w:rsidR="009B127F" w:rsidRPr="00A12B5C">
        <w:t>%</w:t>
      </w:r>
      <w:r w:rsidR="00BA16A3" w:rsidRPr="00A12B5C">
        <w:t>.</w:t>
      </w:r>
      <w:r w:rsidRPr="00A12B5C">
        <w:t xml:space="preserve"> </w:t>
      </w:r>
      <w:r w:rsidR="00BA16A3" w:rsidRPr="00A12B5C">
        <w:t xml:space="preserve">U istom razdoblju </w:t>
      </w:r>
      <w:r w:rsidRPr="00A12B5C">
        <w:t>izvršeni rashodi</w:t>
      </w:r>
      <w:r w:rsidR="00973194" w:rsidRPr="00A12B5C">
        <w:t xml:space="preserve"> i izdaci</w:t>
      </w:r>
      <w:r w:rsidRPr="00A12B5C">
        <w:t xml:space="preserve"> iznose </w:t>
      </w:r>
      <w:r w:rsidR="00E8411B">
        <w:t>41.068.593</w:t>
      </w:r>
      <w:r w:rsidRPr="00A12B5C">
        <w:t xml:space="preserve"> KM</w:t>
      </w:r>
      <w:r w:rsidR="00BA16A3" w:rsidRPr="00A12B5C">
        <w:t>,</w:t>
      </w:r>
      <w:r w:rsidRPr="00A12B5C">
        <w:t xml:space="preserve"> odnosno </w:t>
      </w:r>
      <w:r w:rsidR="002D0534" w:rsidRPr="00A12B5C">
        <w:t>97,</w:t>
      </w:r>
      <w:r w:rsidR="00E8411B">
        <w:t>78</w:t>
      </w:r>
      <w:r w:rsidRPr="00A12B5C">
        <w:t>%</w:t>
      </w:r>
      <w:r w:rsidR="00BA16A3" w:rsidRPr="00A12B5C">
        <w:t>,</w:t>
      </w:r>
      <w:r w:rsidRPr="00A12B5C">
        <w:t xml:space="preserve"> čime je ostvaren višak </w:t>
      </w:r>
      <w:r w:rsidR="00E8411B">
        <w:t>prihoda</w:t>
      </w:r>
      <w:r w:rsidRPr="00A12B5C">
        <w:t xml:space="preserve"> nad </w:t>
      </w:r>
      <w:r w:rsidR="00E8411B">
        <w:t>rashodima</w:t>
      </w:r>
      <w:r w:rsidRPr="00A12B5C">
        <w:t xml:space="preserve"> Proračuna Županije Posavske u iznosu od</w:t>
      </w:r>
      <w:r w:rsidR="00087DC0" w:rsidRPr="00A12B5C">
        <w:t xml:space="preserve"> </w:t>
      </w:r>
      <w:r w:rsidR="00E8411B">
        <w:t>985.078</w:t>
      </w:r>
      <w:r w:rsidRPr="00A12B5C">
        <w:t xml:space="preserve"> KM.</w:t>
      </w:r>
    </w:p>
    <w:p w:rsidR="009554E4" w:rsidRPr="00A12B5C" w:rsidRDefault="009554E4" w:rsidP="009554E4">
      <w:pPr>
        <w:tabs>
          <w:tab w:val="left" w:pos="900"/>
        </w:tabs>
        <w:jc w:val="both"/>
      </w:pPr>
    </w:p>
    <w:p w:rsidR="009554E4" w:rsidRPr="00A12B5C" w:rsidRDefault="009554E4" w:rsidP="009554E4">
      <w:pPr>
        <w:tabs>
          <w:tab w:val="left" w:pos="900"/>
        </w:tabs>
        <w:jc w:val="both"/>
      </w:pPr>
      <w:r w:rsidRPr="00A12B5C">
        <w:t xml:space="preserve">U </w:t>
      </w:r>
      <w:r w:rsidR="00F80132" w:rsidRPr="00A12B5C">
        <w:t>201</w:t>
      </w:r>
      <w:r w:rsidR="00E8411B">
        <w:t>9</w:t>
      </w:r>
      <w:r w:rsidR="00F80132" w:rsidRPr="00A12B5C">
        <w:t>. godini</w:t>
      </w:r>
      <w:r w:rsidRPr="00A12B5C">
        <w:t xml:space="preserve"> izvršenje je bilo slijedeće:</w:t>
      </w:r>
    </w:p>
    <w:p w:rsidR="004C2E0E" w:rsidRPr="00A12B5C" w:rsidRDefault="004C2E0E" w:rsidP="009554E4">
      <w:pPr>
        <w:tabs>
          <w:tab w:val="left" w:pos="900"/>
        </w:tabs>
        <w:jc w:val="both"/>
      </w:pPr>
    </w:p>
    <w:tbl>
      <w:tblPr>
        <w:tblStyle w:val="Reetkatablice"/>
        <w:tblW w:w="0" w:type="auto"/>
        <w:jc w:val="center"/>
        <w:tblInd w:w="-837" w:type="dxa"/>
        <w:tblLook w:val="04A0"/>
      </w:tblPr>
      <w:tblGrid>
        <w:gridCol w:w="5221"/>
        <w:gridCol w:w="1450"/>
        <w:gridCol w:w="1182"/>
        <w:gridCol w:w="1426"/>
        <w:gridCol w:w="846"/>
      </w:tblGrid>
      <w:tr w:rsidR="002D0534" w:rsidRPr="00A12B5C" w:rsidTr="002D0534">
        <w:trPr>
          <w:jc w:val="center"/>
        </w:trPr>
        <w:tc>
          <w:tcPr>
            <w:tcW w:w="5227" w:type="dxa"/>
            <w:shd w:val="clear" w:color="auto" w:fill="D9D9D9" w:themeFill="background1" w:themeFillShade="D9"/>
            <w:vAlign w:val="center"/>
          </w:tcPr>
          <w:p w:rsidR="002D0534" w:rsidRPr="00A12B5C" w:rsidRDefault="002D0534" w:rsidP="00973194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2D0534" w:rsidRPr="00A12B5C" w:rsidRDefault="002D0534" w:rsidP="00E8411B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 xml:space="preserve">PRORAČUN za </w:t>
            </w:r>
            <w:r w:rsidR="00E8411B">
              <w:rPr>
                <w:b/>
                <w:sz w:val="18"/>
                <w:szCs w:val="18"/>
              </w:rPr>
              <w:t>2019</w:t>
            </w:r>
            <w:r w:rsidRPr="00A12B5C">
              <w:rPr>
                <w:b/>
                <w:sz w:val="18"/>
                <w:szCs w:val="18"/>
              </w:rPr>
              <w:t>g./ Izmjene i dopune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2D0534" w:rsidRPr="00A12B5C" w:rsidRDefault="002D0534" w:rsidP="00E8411B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Povećanje/ smanjenje Proračuna za 201</w:t>
            </w:r>
            <w:r w:rsidR="00E8411B">
              <w:rPr>
                <w:b/>
                <w:sz w:val="18"/>
                <w:szCs w:val="18"/>
              </w:rPr>
              <w:t>9</w:t>
            </w:r>
            <w:r w:rsidRPr="00A12B5C">
              <w:rPr>
                <w:b/>
                <w:sz w:val="18"/>
                <w:szCs w:val="18"/>
              </w:rPr>
              <w:t>.g.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2D0534" w:rsidRPr="00A12B5C" w:rsidRDefault="002D0534" w:rsidP="00973194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IZVRŠENJE</w:t>
            </w:r>
          </w:p>
          <w:p w:rsidR="002D0534" w:rsidRPr="00A12B5C" w:rsidRDefault="002D0534" w:rsidP="00E8411B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201</w:t>
            </w:r>
            <w:r w:rsidR="00E8411B">
              <w:rPr>
                <w:b/>
                <w:sz w:val="18"/>
                <w:szCs w:val="18"/>
              </w:rPr>
              <w:t>9</w:t>
            </w:r>
            <w:r w:rsidRPr="00A12B5C">
              <w:rPr>
                <w:b/>
                <w:sz w:val="18"/>
                <w:szCs w:val="18"/>
              </w:rPr>
              <w:t>.g.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2D0534" w:rsidRPr="00A12B5C" w:rsidRDefault="002D0534" w:rsidP="00973194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Indeks</w:t>
            </w:r>
          </w:p>
          <w:p w:rsidR="002D0534" w:rsidRPr="00A12B5C" w:rsidRDefault="002D0534" w:rsidP="002D0534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(4/3)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973194">
            <w:pPr>
              <w:tabs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A12B5C">
              <w:rPr>
                <w:sz w:val="12"/>
                <w:szCs w:val="12"/>
              </w:rPr>
              <w:t>1</w:t>
            </w:r>
          </w:p>
        </w:tc>
        <w:tc>
          <w:tcPr>
            <w:tcW w:w="1450" w:type="dxa"/>
          </w:tcPr>
          <w:p w:rsidR="002D0534" w:rsidRPr="00A12B5C" w:rsidRDefault="002D0534" w:rsidP="00973194">
            <w:pPr>
              <w:tabs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A12B5C">
              <w:rPr>
                <w:sz w:val="12"/>
                <w:szCs w:val="12"/>
              </w:rPr>
              <w:t>2</w:t>
            </w:r>
          </w:p>
        </w:tc>
        <w:tc>
          <w:tcPr>
            <w:tcW w:w="1182" w:type="dxa"/>
          </w:tcPr>
          <w:p w:rsidR="002D0534" w:rsidRPr="00A12B5C" w:rsidRDefault="002D0534" w:rsidP="00973194">
            <w:pPr>
              <w:tabs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A12B5C">
              <w:rPr>
                <w:sz w:val="12"/>
                <w:szCs w:val="12"/>
              </w:rPr>
              <w:t>3</w:t>
            </w:r>
          </w:p>
        </w:tc>
        <w:tc>
          <w:tcPr>
            <w:tcW w:w="1426" w:type="dxa"/>
          </w:tcPr>
          <w:p w:rsidR="002D0534" w:rsidRPr="00A12B5C" w:rsidRDefault="002D0534" w:rsidP="00973194">
            <w:pPr>
              <w:tabs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A12B5C">
              <w:rPr>
                <w:sz w:val="12"/>
                <w:szCs w:val="12"/>
              </w:rPr>
              <w:t>4</w:t>
            </w:r>
          </w:p>
        </w:tc>
        <w:tc>
          <w:tcPr>
            <w:tcW w:w="840" w:type="dxa"/>
          </w:tcPr>
          <w:p w:rsidR="002D0534" w:rsidRPr="00A12B5C" w:rsidRDefault="002D0534" w:rsidP="00973194">
            <w:pPr>
              <w:tabs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A12B5C">
              <w:rPr>
                <w:sz w:val="12"/>
                <w:szCs w:val="12"/>
              </w:rPr>
              <w:t>5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9554E4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1. PRORAČUNSKI PRIHODI (1.1.+1.2.+1.3.+1.4.+1.5.)</w:t>
            </w:r>
          </w:p>
        </w:tc>
        <w:tc>
          <w:tcPr>
            <w:tcW w:w="145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41.993.110</w:t>
            </w:r>
          </w:p>
        </w:tc>
        <w:tc>
          <w:tcPr>
            <w:tcW w:w="1182" w:type="dxa"/>
          </w:tcPr>
          <w:p w:rsidR="002D0534" w:rsidRPr="00A12B5C" w:rsidRDefault="00E8411B" w:rsidP="000E46AB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41.998.110</w:t>
            </w:r>
          </w:p>
        </w:tc>
        <w:tc>
          <w:tcPr>
            <w:tcW w:w="1426" w:type="dxa"/>
          </w:tcPr>
          <w:p w:rsidR="002D0534" w:rsidRPr="00A12B5C" w:rsidRDefault="00E8411B" w:rsidP="00FA03EF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42.048.235</w:t>
            </w:r>
          </w:p>
        </w:tc>
        <w:tc>
          <w:tcPr>
            <w:tcW w:w="84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100,12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9554E4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1.1. Prihodi od poreza</w:t>
            </w:r>
          </w:p>
        </w:tc>
        <w:tc>
          <w:tcPr>
            <w:tcW w:w="145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37.211.840</w:t>
            </w:r>
          </w:p>
        </w:tc>
        <w:tc>
          <w:tcPr>
            <w:tcW w:w="1182" w:type="dxa"/>
          </w:tcPr>
          <w:p w:rsidR="002D0534" w:rsidRPr="00A12B5C" w:rsidRDefault="00E8411B" w:rsidP="000E46AB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37.211.840</w:t>
            </w:r>
          </w:p>
        </w:tc>
        <w:tc>
          <w:tcPr>
            <w:tcW w:w="1426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38.101.400</w:t>
            </w:r>
          </w:p>
        </w:tc>
        <w:tc>
          <w:tcPr>
            <w:tcW w:w="84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102,39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9554E4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1.2. Neporezni prihodi</w:t>
            </w:r>
          </w:p>
        </w:tc>
        <w:tc>
          <w:tcPr>
            <w:tcW w:w="145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2.692.490</w:t>
            </w:r>
          </w:p>
        </w:tc>
        <w:tc>
          <w:tcPr>
            <w:tcW w:w="1182" w:type="dxa"/>
          </w:tcPr>
          <w:p w:rsidR="002D0534" w:rsidRPr="00A12B5C" w:rsidRDefault="00E8411B" w:rsidP="000E46AB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2.692.490</w:t>
            </w:r>
          </w:p>
        </w:tc>
        <w:tc>
          <w:tcPr>
            <w:tcW w:w="1426" w:type="dxa"/>
          </w:tcPr>
          <w:p w:rsidR="002D0534" w:rsidRPr="00A12B5C" w:rsidRDefault="00E8411B" w:rsidP="00FA03EF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2.824.894</w:t>
            </w:r>
          </w:p>
        </w:tc>
        <w:tc>
          <w:tcPr>
            <w:tcW w:w="84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104,92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9554E4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1.3. Tekući grantovi (grantovi i donacije)</w:t>
            </w:r>
          </w:p>
        </w:tc>
        <w:tc>
          <w:tcPr>
            <w:tcW w:w="145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1.825.750</w:t>
            </w:r>
          </w:p>
        </w:tc>
        <w:tc>
          <w:tcPr>
            <w:tcW w:w="1182" w:type="dxa"/>
          </w:tcPr>
          <w:p w:rsidR="002D0534" w:rsidRPr="00A12B5C" w:rsidRDefault="00E8411B" w:rsidP="000E46AB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1.825.750</w:t>
            </w:r>
          </w:p>
        </w:tc>
        <w:tc>
          <w:tcPr>
            <w:tcW w:w="1426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968.494</w:t>
            </w:r>
          </w:p>
        </w:tc>
        <w:tc>
          <w:tcPr>
            <w:tcW w:w="84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53,05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9554E4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1.4. Kapitalni grantovi</w:t>
            </w:r>
          </w:p>
        </w:tc>
        <w:tc>
          <w:tcPr>
            <w:tcW w:w="145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261.340</w:t>
            </w:r>
          </w:p>
        </w:tc>
        <w:tc>
          <w:tcPr>
            <w:tcW w:w="1182" w:type="dxa"/>
          </w:tcPr>
          <w:p w:rsidR="002D0534" w:rsidRPr="00A12B5C" w:rsidRDefault="00E8411B" w:rsidP="000E46AB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266.340</w:t>
            </w:r>
          </w:p>
        </w:tc>
        <w:tc>
          <w:tcPr>
            <w:tcW w:w="1426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152.132</w:t>
            </w:r>
          </w:p>
        </w:tc>
        <w:tc>
          <w:tcPr>
            <w:tcW w:w="84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57,12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9554E4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1.5. Prihodi po osnovi zaostalih obveza</w:t>
            </w:r>
            <w:bookmarkStart w:id="0" w:name="_GoBack"/>
            <w:bookmarkEnd w:id="0"/>
          </w:p>
        </w:tc>
        <w:tc>
          <w:tcPr>
            <w:tcW w:w="145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1.690</w:t>
            </w:r>
          </w:p>
        </w:tc>
        <w:tc>
          <w:tcPr>
            <w:tcW w:w="1182" w:type="dxa"/>
          </w:tcPr>
          <w:p w:rsidR="002D0534" w:rsidRPr="00A12B5C" w:rsidRDefault="00E8411B" w:rsidP="000E46AB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1.690</w:t>
            </w:r>
          </w:p>
        </w:tc>
        <w:tc>
          <w:tcPr>
            <w:tcW w:w="1426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1.315</w:t>
            </w:r>
          </w:p>
        </w:tc>
        <w:tc>
          <w:tcPr>
            <w:tcW w:w="84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77,81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771B17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2. PRORAČUNSKI RASHODI (2.1.+2.2….+2.7.)</w:t>
            </w:r>
          </w:p>
        </w:tc>
        <w:tc>
          <w:tcPr>
            <w:tcW w:w="145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39.810.140</w:t>
            </w:r>
          </w:p>
        </w:tc>
        <w:tc>
          <w:tcPr>
            <w:tcW w:w="1182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39.833.140</w:t>
            </w:r>
          </w:p>
        </w:tc>
        <w:tc>
          <w:tcPr>
            <w:tcW w:w="1426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39.369.411</w:t>
            </w:r>
          </w:p>
        </w:tc>
        <w:tc>
          <w:tcPr>
            <w:tcW w:w="84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98,84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9554E4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2.1. Rashodi – Tekuća pričuva</w:t>
            </w:r>
          </w:p>
        </w:tc>
        <w:tc>
          <w:tcPr>
            <w:tcW w:w="145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610.000</w:t>
            </w:r>
          </w:p>
        </w:tc>
        <w:tc>
          <w:tcPr>
            <w:tcW w:w="1182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610.000</w:t>
            </w:r>
          </w:p>
        </w:tc>
        <w:tc>
          <w:tcPr>
            <w:tcW w:w="1426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609.613</w:t>
            </w:r>
          </w:p>
        </w:tc>
        <w:tc>
          <w:tcPr>
            <w:tcW w:w="84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99,94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9554E4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2.2. Plaće i naknade troškova zaposlenih</w:t>
            </w:r>
          </w:p>
        </w:tc>
        <w:tc>
          <w:tcPr>
            <w:tcW w:w="145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21.343.590</w:t>
            </w:r>
          </w:p>
        </w:tc>
        <w:tc>
          <w:tcPr>
            <w:tcW w:w="1182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21.155.150</w:t>
            </w:r>
          </w:p>
        </w:tc>
        <w:tc>
          <w:tcPr>
            <w:tcW w:w="1426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21.036.637</w:t>
            </w:r>
          </w:p>
        </w:tc>
        <w:tc>
          <w:tcPr>
            <w:tcW w:w="84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99,44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771B1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2.3. Doprinosi poslodavca i ostali doprinosi</w:t>
            </w:r>
          </w:p>
        </w:tc>
        <w:tc>
          <w:tcPr>
            <w:tcW w:w="1450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2.087.970</w:t>
            </w:r>
          </w:p>
        </w:tc>
        <w:tc>
          <w:tcPr>
            <w:tcW w:w="1182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2.089.410</w:t>
            </w:r>
          </w:p>
        </w:tc>
        <w:tc>
          <w:tcPr>
            <w:tcW w:w="1426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2.072.125</w:t>
            </w:r>
          </w:p>
        </w:tc>
        <w:tc>
          <w:tcPr>
            <w:tcW w:w="840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99,17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771B1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2.4. Izdaci za materijal, sitan inventar i usluge</w:t>
            </w:r>
          </w:p>
        </w:tc>
        <w:tc>
          <w:tcPr>
            <w:tcW w:w="1450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4.277.380</w:t>
            </w:r>
          </w:p>
        </w:tc>
        <w:tc>
          <w:tcPr>
            <w:tcW w:w="1182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4.237.380</w:t>
            </w:r>
          </w:p>
        </w:tc>
        <w:tc>
          <w:tcPr>
            <w:tcW w:w="1426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3.945.194</w:t>
            </w:r>
          </w:p>
        </w:tc>
        <w:tc>
          <w:tcPr>
            <w:tcW w:w="840" w:type="dxa"/>
          </w:tcPr>
          <w:p w:rsidR="002D0534" w:rsidRPr="00A12B5C" w:rsidRDefault="00E8411B" w:rsidP="000E46AB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93,10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771B1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2.5. Tekući grantovi i drugi tekući rashodi</w:t>
            </w:r>
          </w:p>
        </w:tc>
        <w:tc>
          <w:tcPr>
            <w:tcW w:w="1450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11.039.200</w:t>
            </w:r>
          </w:p>
        </w:tc>
        <w:tc>
          <w:tcPr>
            <w:tcW w:w="1182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11.289.200</w:t>
            </w:r>
          </w:p>
        </w:tc>
        <w:tc>
          <w:tcPr>
            <w:tcW w:w="1426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11.254.222</w:t>
            </w:r>
          </w:p>
        </w:tc>
        <w:tc>
          <w:tcPr>
            <w:tcW w:w="840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99,69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771B1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2.6. Kapitalni grantovi</w:t>
            </w:r>
          </w:p>
        </w:tc>
        <w:tc>
          <w:tcPr>
            <w:tcW w:w="1450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</w:t>
            </w:r>
          </w:p>
        </w:tc>
        <w:tc>
          <w:tcPr>
            <w:tcW w:w="1182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</w:t>
            </w:r>
          </w:p>
        </w:tc>
        <w:tc>
          <w:tcPr>
            <w:tcW w:w="1426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</w:t>
            </w:r>
          </w:p>
        </w:tc>
        <w:tc>
          <w:tcPr>
            <w:tcW w:w="840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771B1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2.7. Izdaci za kamate</w:t>
            </w:r>
          </w:p>
        </w:tc>
        <w:tc>
          <w:tcPr>
            <w:tcW w:w="1450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</w:t>
            </w:r>
          </w:p>
        </w:tc>
        <w:tc>
          <w:tcPr>
            <w:tcW w:w="1182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</w:t>
            </w:r>
          </w:p>
        </w:tc>
        <w:tc>
          <w:tcPr>
            <w:tcW w:w="1426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51.620</w:t>
            </w:r>
          </w:p>
        </w:tc>
        <w:tc>
          <w:tcPr>
            <w:tcW w:w="840" w:type="dxa"/>
          </w:tcPr>
          <w:p w:rsidR="002D0534" w:rsidRPr="00A12B5C" w:rsidRDefault="00E8411B" w:rsidP="00771B17">
            <w:pPr>
              <w:tabs>
                <w:tab w:val="left" w:pos="9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99,27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9554E4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3. TEKUĆA BILANCA (1-2)</w:t>
            </w:r>
          </w:p>
        </w:tc>
        <w:tc>
          <w:tcPr>
            <w:tcW w:w="145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2.182.970</w:t>
            </w:r>
          </w:p>
        </w:tc>
        <w:tc>
          <w:tcPr>
            <w:tcW w:w="1182" w:type="dxa"/>
          </w:tcPr>
          <w:p w:rsidR="002D0534" w:rsidRPr="00A12B5C" w:rsidRDefault="00E8411B" w:rsidP="00FA03EF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2.164.970</w:t>
            </w:r>
          </w:p>
        </w:tc>
        <w:tc>
          <w:tcPr>
            <w:tcW w:w="1426" w:type="dxa"/>
          </w:tcPr>
          <w:p w:rsidR="002D0534" w:rsidRPr="00A12B5C" w:rsidRDefault="00E8411B" w:rsidP="00FA03EF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2.678.824</w:t>
            </w:r>
          </w:p>
        </w:tc>
        <w:tc>
          <w:tcPr>
            <w:tcW w:w="84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123,73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973194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4. PRIMICI OD PRODAJE NEFINANC.IMOVINE</w:t>
            </w:r>
          </w:p>
        </w:tc>
        <w:tc>
          <w:tcPr>
            <w:tcW w:w="145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5.440</w:t>
            </w:r>
          </w:p>
        </w:tc>
        <w:tc>
          <w:tcPr>
            <w:tcW w:w="1182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5.440</w:t>
            </w:r>
          </w:p>
        </w:tc>
        <w:tc>
          <w:tcPr>
            <w:tcW w:w="1426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5.436</w:t>
            </w:r>
          </w:p>
        </w:tc>
        <w:tc>
          <w:tcPr>
            <w:tcW w:w="84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99,93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973194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5. IZDACI ZA NABAVKU NEFINANC.IMOVINE</w:t>
            </w:r>
          </w:p>
        </w:tc>
        <w:tc>
          <w:tcPr>
            <w:tcW w:w="145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1.594.590</w:t>
            </w:r>
          </w:p>
        </w:tc>
        <w:tc>
          <w:tcPr>
            <w:tcW w:w="1182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1.576.590</w:t>
            </w:r>
          </w:p>
        </w:tc>
        <w:tc>
          <w:tcPr>
            <w:tcW w:w="1426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1.108.166</w:t>
            </w:r>
          </w:p>
        </w:tc>
        <w:tc>
          <w:tcPr>
            <w:tcW w:w="84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70,29</w:t>
            </w:r>
          </w:p>
        </w:tc>
      </w:tr>
      <w:tr w:rsidR="002D0534" w:rsidRPr="00A12B5C" w:rsidTr="002D0534">
        <w:trPr>
          <w:jc w:val="center"/>
        </w:trPr>
        <w:tc>
          <w:tcPr>
            <w:tcW w:w="5227" w:type="dxa"/>
          </w:tcPr>
          <w:p w:rsidR="002D0534" w:rsidRPr="00A12B5C" w:rsidRDefault="002D0534" w:rsidP="009554E4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6. NETO NABAVKA NEFINANCIJSKE IMOVINE (4-5)</w:t>
            </w:r>
          </w:p>
        </w:tc>
        <w:tc>
          <w:tcPr>
            <w:tcW w:w="145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-1.589.150</w:t>
            </w:r>
          </w:p>
        </w:tc>
        <w:tc>
          <w:tcPr>
            <w:tcW w:w="1182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-1.571.150</w:t>
            </w:r>
          </w:p>
        </w:tc>
        <w:tc>
          <w:tcPr>
            <w:tcW w:w="1426" w:type="dxa"/>
          </w:tcPr>
          <w:p w:rsidR="002D0534" w:rsidRPr="00A12B5C" w:rsidRDefault="00E8411B" w:rsidP="000E46AB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-1.102.730</w:t>
            </w:r>
          </w:p>
        </w:tc>
        <w:tc>
          <w:tcPr>
            <w:tcW w:w="840" w:type="dxa"/>
          </w:tcPr>
          <w:p w:rsidR="002D0534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70,19</w:t>
            </w:r>
          </w:p>
        </w:tc>
      </w:tr>
      <w:tr w:rsidR="000E46AB" w:rsidRPr="00A12B5C" w:rsidTr="002D0534">
        <w:trPr>
          <w:jc w:val="center"/>
        </w:trPr>
        <w:tc>
          <w:tcPr>
            <w:tcW w:w="5227" w:type="dxa"/>
          </w:tcPr>
          <w:p w:rsidR="000E46AB" w:rsidRPr="00A12B5C" w:rsidRDefault="000E46AB" w:rsidP="009554E4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7. UKUPAN SUFICIT/DEFICIT (3+6)</w:t>
            </w:r>
          </w:p>
        </w:tc>
        <w:tc>
          <w:tcPr>
            <w:tcW w:w="1450" w:type="dxa"/>
          </w:tcPr>
          <w:p w:rsidR="000E46AB" w:rsidRPr="00A12B5C" w:rsidRDefault="00E8411B" w:rsidP="000E46AB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593.820</w:t>
            </w:r>
          </w:p>
        </w:tc>
        <w:tc>
          <w:tcPr>
            <w:tcW w:w="1182" w:type="dxa"/>
          </w:tcPr>
          <w:p w:rsidR="000E46AB" w:rsidRPr="00A12B5C" w:rsidRDefault="00E8411B" w:rsidP="000E46AB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593.820</w:t>
            </w:r>
          </w:p>
        </w:tc>
        <w:tc>
          <w:tcPr>
            <w:tcW w:w="1426" w:type="dxa"/>
          </w:tcPr>
          <w:p w:rsidR="000E46AB" w:rsidRPr="00A12B5C" w:rsidRDefault="00E8411B" w:rsidP="000E46AB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1.576.094</w:t>
            </w:r>
          </w:p>
        </w:tc>
        <w:tc>
          <w:tcPr>
            <w:tcW w:w="840" w:type="dxa"/>
          </w:tcPr>
          <w:p w:rsidR="000E46AB" w:rsidRPr="00A12B5C" w:rsidRDefault="00E8411B" w:rsidP="000E46AB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265,42</w:t>
            </w:r>
          </w:p>
        </w:tc>
      </w:tr>
      <w:tr w:rsidR="000E46AB" w:rsidRPr="00A12B5C" w:rsidTr="002D0534">
        <w:trPr>
          <w:jc w:val="center"/>
        </w:trPr>
        <w:tc>
          <w:tcPr>
            <w:tcW w:w="5227" w:type="dxa"/>
          </w:tcPr>
          <w:p w:rsidR="000E46AB" w:rsidRPr="00A12B5C" w:rsidRDefault="000E46AB" w:rsidP="00973194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8. PRIMICI OD FINANC.IMOVINE I ZADUŽIVANJA</w:t>
            </w:r>
          </w:p>
        </w:tc>
        <w:tc>
          <w:tcPr>
            <w:tcW w:w="1450" w:type="dxa"/>
          </w:tcPr>
          <w:p w:rsidR="000E46AB" w:rsidRPr="00A12B5C" w:rsidRDefault="00E8411B" w:rsidP="00E8411B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82" w:type="dxa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6" w:type="dxa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E46AB" w:rsidRPr="00A12B5C" w:rsidRDefault="000E46A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0E46AB" w:rsidRPr="00A12B5C" w:rsidTr="002D0534">
        <w:trPr>
          <w:jc w:val="center"/>
        </w:trPr>
        <w:tc>
          <w:tcPr>
            <w:tcW w:w="5227" w:type="dxa"/>
          </w:tcPr>
          <w:p w:rsidR="000E46AB" w:rsidRPr="00A12B5C" w:rsidRDefault="000E46AB" w:rsidP="004C2E0E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9. IZDACI ZA NABAV.FIN.IMOVINE I OTPL.DUGOVA</w:t>
            </w:r>
          </w:p>
        </w:tc>
        <w:tc>
          <w:tcPr>
            <w:tcW w:w="1450" w:type="dxa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591.150</w:t>
            </w:r>
          </w:p>
        </w:tc>
        <w:tc>
          <w:tcPr>
            <w:tcW w:w="1182" w:type="dxa"/>
          </w:tcPr>
          <w:p w:rsidR="000E46AB" w:rsidRPr="00A12B5C" w:rsidRDefault="00E8411B" w:rsidP="004C2E0E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591.150</w:t>
            </w:r>
          </w:p>
        </w:tc>
        <w:tc>
          <w:tcPr>
            <w:tcW w:w="1426" w:type="dxa"/>
          </w:tcPr>
          <w:p w:rsidR="000E46AB" w:rsidRPr="00A12B5C" w:rsidRDefault="00E8411B" w:rsidP="004C2E0E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591.016</w:t>
            </w:r>
          </w:p>
        </w:tc>
        <w:tc>
          <w:tcPr>
            <w:tcW w:w="840" w:type="dxa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99,98</w:t>
            </w:r>
          </w:p>
        </w:tc>
      </w:tr>
      <w:tr w:rsidR="000E46AB" w:rsidRPr="00A12B5C" w:rsidTr="002D0534">
        <w:trPr>
          <w:jc w:val="center"/>
        </w:trPr>
        <w:tc>
          <w:tcPr>
            <w:tcW w:w="5227" w:type="dxa"/>
          </w:tcPr>
          <w:p w:rsidR="000E46AB" w:rsidRPr="00A12B5C" w:rsidRDefault="000E46AB" w:rsidP="009554E4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10. NETO FINANCIRANJE (8-9)</w:t>
            </w:r>
          </w:p>
        </w:tc>
        <w:tc>
          <w:tcPr>
            <w:tcW w:w="1450" w:type="dxa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-591.150</w:t>
            </w:r>
          </w:p>
        </w:tc>
        <w:tc>
          <w:tcPr>
            <w:tcW w:w="1182" w:type="dxa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-591.150</w:t>
            </w:r>
          </w:p>
        </w:tc>
        <w:tc>
          <w:tcPr>
            <w:tcW w:w="1426" w:type="dxa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-591.016</w:t>
            </w:r>
          </w:p>
        </w:tc>
        <w:tc>
          <w:tcPr>
            <w:tcW w:w="840" w:type="dxa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99,98</w:t>
            </w:r>
          </w:p>
        </w:tc>
      </w:tr>
      <w:tr w:rsidR="000E46AB" w:rsidRPr="00A12B5C" w:rsidTr="002D0534">
        <w:trPr>
          <w:jc w:val="center"/>
        </w:trPr>
        <w:tc>
          <w:tcPr>
            <w:tcW w:w="5227" w:type="dxa"/>
          </w:tcPr>
          <w:p w:rsidR="000E46AB" w:rsidRPr="00A12B5C" w:rsidRDefault="000E46AB" w:rsidP="009554E4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11. UKUPAN FINANCIJSKI REZULTAT (7+10)</w:t>
            </w:r>
          </w:p>
        </w:tc>
        <w:tc>
          <w:tcPr>
            <w:tcW w:w="1450" w:type="dxa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2.670</w:t>
            </w:r>
          </w:p>
        </w:tc>
        <w:tc>
          <w:tcPr>
            <w:tcW w:w="1182" w:type="dxa"/>
          </w:tcPr>
          <w:p w:rsidR="000E46AB" w:rsidRPr="00A12B5C" w:rsidRDefault="00E8411B" w:rsidP="00FA03EF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2.670</w:t>
            </w:r>
          </w:p>
        </w:tc>
        <w:tc>
          <w:tcPr>
            <w:tcW w:w="1426" w:type="dxa"/>
          </w:tcPr>
          <w:p w:rsidR="000E46AB" w:rsidRPr="00A12B5C" w:rsidRDefault="00E8411B" w:rsidP="00FA03EF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985.078</w:t>
            </w:r>
          </w:p>
        </w:tc>
        <w:tc>
          <w:tcPr>
            <w:tcW w:w="840" w:type="dxa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36.894,3</w:t>
            </w:r>
          </w:p>
        </w:tc>
      </w:tr>
      <w:tr w:rsidR="000E46AB" w:rsidRPr="00A12B5C" w:rsidTr="002D0534">
        <w:trPr>
          <w:jc w:val="center"/>
        </w:trPr>
        <w:tc>
          <w:tcPr>
            <w:tcW w:w="5227" w:type="dxa"/>
          </w:tcPr>
          <w:p w:rsidR="000E46AB" w:rsidRPr="00A12B5C" w:rsidRDefault="000E46AB" w:rsidP="009554E4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:rsidR="000E46AB" w:rsidRPr="00A12B5C" w:rsidRDefault="000E46A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0E46AB" w:rsidRPr="00A12B5C" w:rsidRDefault="000E46A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</w:tcPr>
          <w:p w:rsidR="000E46AB" w:rsidRPr="00A12B5C" w:rsidRDefault="000E46A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0E46AB" w:rsidRPr="00A12B5C" w:rsidRDefault="000E46A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0E46AB" w:rsidRPr="00A12B5C" w:rsidTr="002D0534">
        <w:trPr>
          <w:jc w:val="center"/>
        </w:trPr>
        <w:tc>
          <w:tcPr>
            <w:tcW w:w="5227" w:type="dxa"/>
            <w:shd w:val="clear" w:color="auto" w:fill="D9D9D9" w:themeFill="background1" w:themeFillShade="D9"/>
          </w:tcPr>
          <w:p w:rsidR="000E46AB" w:rsidRPr="00A12B5C" w:rsidRDefault="000E46AB" w:rsidP="004C2E0E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A. UKUPNO PRIHODI, PRIMICI I FINANCIR.(1+4+8)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41.998.550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0E46AB" w:rsidRPr="00A12B5C" w:rsidRDefault="00E8411B" w:rsidP="00FA03EF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42.003.550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46AB" w:rsidRPr="00A12B5C" w:rsidRDefault="00E8411B" w:rsidP="00FA03EF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42.053.671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100,12</w:t>
            </w:r>
          </w:p>
        </w:tc>
      </w:tr>
      <w:tr w:rsidR="000E46AB" w:rsidRPr="00A12B5C" w:rsidTr="002D0534">
        <w:trPr>
          <w:jc w:val="center"/>
        </w:trPr>
        <w:tc>
          <w:tcPr>
            <w:tcW w:w="5227" w:type="dxa"/>
            <w:shd w:val="clear" w:color="auto" w:fill="D9D9D9" w:themeFill="background1" w:themeFillShade="D9"/>
          </w:tcPr>
          <w:p w:rsidR="000E46AB" w:rsidRPr="00A12B5C" w:rsidRDefault="000E46AB" w:rsidP="009554E4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B. UKUPNO RASHODI I IZDACI (2+5+9)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41.995.880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0E46AB" w:rsidRPr="00A12B5C" w:rsidRDefault="00E8411B" w:rsidP="004C2E0E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42.000.880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46AB" w:rsidRPr="00A12B5C" w:rsidRDefault="00E8411B" w:rsidP="004C2E0E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41.068.593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97,78</w:t>
            </w:r>
          </w:p>
        </w:tc>
      </w:tr>
      <w:tr w:rsidR="000E46AB" w:rsidRPr="00A12B5C" w:rsidTr="002D0534">
        <w:trPr>
          <w:jc w:val="center"/>
        </w:trPr>
        <w:tc>
          <w:tcPr>
            <w:tcW w:w="5227" w:type="dxa"/>
            <w:shd w:val="clear" w:color="auto" w:fill="D9D9D9" w:themeFill="background1" w:themeFillShade="D9"/>
          </w:tcPr>
          <w:p w:rsidR="000E46AB" w:rsidRPr="00A12B5C" w:rsidRDefault="000E46AB" w:rsidP="009554E4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C. POKRIĆE DEFICITA (A-B)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0E46AB" w:rsidRPr="00A12B5C" w:rsidRDefault="00E8411B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2.670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0E46AB" w:rsidRPr="00A12B5C" w:rsidRDefault="00E8411B" w:rsidP="00FA03EF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2.670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E46AB" w:rsidRPr="00A12B5C" w:rsidRDefault="00E8411B" w:rsidP="00FA03EF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985.078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0E46AB" w:rsidRPr="00A12B5C" w:rsidRDefault="000600AF" w:rsidP="00973194">
            <w:pPr>
              <w:tabs>
                <w:tab w:val="left" w:pos="9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36.894,3</w:t>
            </w:r>
          </w:p>
        </w:tc>
      </w:tr>
    </w:tbl>
    <w:p w:rsidR="009554E4" w:rsidRPr="00A12B5C" w:rsidRDefault="009554E4" w:rsidP="00C84C95">
      <w:pPr>
        <w:jc w:val="center"/>
      </w:pPr>
    </w:p>
    <w:p w:rsidR="00A3238D" w:rsidRPr="00A12B5C" w:rsidRDefault="00A3238D" w:rsidP="00C84C95">
      <w:pPr>
        <w:jc w:val="center"/>
      </w:pPr>
    </w:p>
    <w:p w:rsidR="009554E4" w:rsidRPr="00A12B5C" w:rsidRDefault="009554E4" w:rsidP="009554E4">
      <w:pPr>
        <w:pStyle w:val="Podnoje"/>
        <w:pBdr>
          <w:top w:val="single" w:sz="4" w:space="1" w:color="auto"/>
        </w:pBdr>
        <w:ind w:right="360"/>
        <w:jc w:val="center"/>
        <w:rPr>
          <w:sz w:val="14"/>
          <w:szCs w:val="14"/>
        </w:rPr>
      </w:pPr>
      <w:r w:rsidRPr="00A12B5C">
        <w:rPr>
          <w:sz w:val="14"/>
          <w:szCs w:val="14"/>
        </w:rPr>
        <w:t xml:space="preserve">e-mail: </w:t>
      </w:r>
      <w:hyperlink r:id="rId9" w:history="1">
        <w:r w:rsidRPr="00A12B5C">
          <w:rPr>
            <w:rStyle w:val="Hiperveza"/>
            <w:sz w:val="14"/>
            <w:szCs w:val="14"/>
          </w:rPr>
          <w:t>financije.zp@tel.net.ba</w:t>
        </w:r>
      </w:hyperlink>
    </w:p>
    <w:p w:rsidR="009554E4" w:rsidRPr="00A12B5C" w:rsidRDefault="00A12B5C" w:rsidP="009554E4">
      <w:pPr>
        <w:pStyle w:val="Podnoje"/>
        <w:ind w:right="360"/>
        <w:jc w:val="center"/>
        <w:rPr>
          <w:sz w:val="14"/>
          <w:szCs w:val="14"/>
        </w:rPr>
      </w:pPr>
      <w:r w:rsidRPr="00A12B5C">
        <w:rPr>
          <w:sz w:val="14"/>
          <w:szCs w:val="14"/>
        </w:rPr>
        <w:t>Tel</w:t>
      </w:r>
      <w:r>
        <w:rPr>
          <w:sz w:val="14"/>
          <w:szCs w:val="14"/>
        </w:rPr>
        <w:t>.</w:t>
      </w:r>
      <w:r w:rsidR="009554E4" w:rsidRPr="00A12B5C">
        <w:rPr>
          <w:sz w:val="14"/>
          <w:szCs w:val="14"/>
        </w:rPr>
        <w:t>.: +387 (0) 31 713 129, Cent. +387 (0) 31 713 265</w:t>
      </w:r>
    </w:p>
    <w:p w:rsidR="009554E4" w:rsidRPr="00A12B5C" w:rsidRDefault="009554E4" w:rsidP="009554E4">
      <w:pPr>
        <w:pStyle w:val="Podnoje"/>
        <w:ind w:right="360"/>
        <w:jc w:val="center"/>
        <w:rPr>
          <w:sz w:val="14"/>
          <w:szCs w:val="14"/>
        </w:rPr>
      </w:pPr>
      <w:r w:rsidRPr="00A12B5C">
        <w:rPr>
          <w:sz w:val="14"/>
          <w:szCs w:val="14"/>
        </w:rPr>
        <w:t>Fax: +387 (0) 31 713 932</w:t>
      </w:r>
    </w:p>
    <w:p w:rsidR="009554E4" w:rsidRPr="00A12B5C" w:rsidRDefault="009554E4" w:rsidP="009554E4">
      <w:pPr>
        <w:pStyle w:val="Podnoje"/>
        <w:ind w:right="360"/>
        <w:jc w:val="center"/>
        <w:rPr>
          <w:sz w:val="14"/>
          <w:szCs w:val="14"/>
        </w:rPr>
      </w:pPr>
      <w:r w:rsidRPr="00A12B5C">
        <w:rPr>
          <w:sz w:val="14"/>
          <w:szCs w:val="14"/>
        </w:rPr>
        <w:t>Orašje, Jug II bb Obilaznica</w:t>
      </w:r>
    </w:p>
    <w:p w:rsidR="009554E4" w:rsidRPr="00A12B5C" w:rsidRDefault="00A3238D" w:rsidP="00A3238D">
      <w:pPr>
        <w:widowControl/>
        <w:jc w:val="center"/>
        <w:rPr>
          <w:b/>
        </w:rPr>
      </w:pPr>
      <w:r w:rsidRPr="00A12B5C">
        <w:rPr>
          <w:b/>
        </w:rPr>
        <w:br w:type="page"/>
      </w:r>
      <w:r w:rsidR="009554E4" w:rsidRPr="00A12B5C">
        <w:rPr>
          <w:b/>
        </w:rPr>
        <w:lastRenderedPageBreak/>
        <w:t>O B R A Z L O Ž E NJ E</w:t>
      </w:r>
    </w:p>
    <w:p w:rsidR="009554E4" w:rsidRPr="00A12B5C" w:rsidRDefault="009554E4" w:rsidP="009554E4">
      <w:pPr>
        <w:rPr>
          <w:sz w:val="16"/>
          <w:szCs w:val="16"/>
        </w:rPr>
      </w:pPr>
    </w:p>
    <w:p w:rsidR="00601F3E" w:rsidRPr="00A12B5C" w:rsidRDefault="00601F3E" w:rsidP="00601F3E">
      <w:pPr>
        <w:jc w:val="both"/>
      </w:pPr>
      <w:r w:rsidRPr="00A12B5C">
        <w:t xml:space="preserve">Na osnovi članka </w:t>
      </w:r>
      <w:r w:rsidR="00306627" w:rsidRPr="00A12B5C">
        <w:t>96.</w:t>
      </w:r>
      <w:r w:rsidRPr="00A12B5C">
        <w:t xml:space="preserve"> Zakona o proračunima u Federaciji Bosne i Hercegovine („Službene novine Federacije BiH“, broj: 102/13</w:t>
      </w:r>
      <w:r w:rsidR="00BA16A3" w:rsidRPr="00A12B5C">
        <w:t>, 9/14</w:t>
      </w:r>
      <w:r w:rsidR="00865A96" w:rsidRPr="00A12B5C">
        <w:t>,</w:t>
      </w:r>
      <w:r w:rsidRPr="00A12B5C">
        <w:t xml:space="preserve"> 13/14</w:t>
      </w:r>
      <w:r w:rsidR="00865A96" w:rsidRPr="00A12B5C">
        <w:t>, 8/15</w:t>
      </w:r>
      <w:r w:rsidR="00D343D0" w:rsidRPr="00A12B5C">
        <w:t>,</w:t>
      </w:r>
      <w:r w:rsidR="00865A96" w:rsidRPr="00A12B5C">
        <w:t xml:space="preserve"> 91/15</w:t>
      </w:r>
      <w:r w:rsidR="005827B8" w:rsidRPr="00A12B5C">
        <w:t xml:space="preserve">, </w:t>
      </w:r>
      <w:r w:rsidR="00D343D0" w:rsidRPr="00A12B5C">
        <w:t>102/15</w:t>
      </w:r>
      <w:r w:rsidR="005827B8" w:rsidRPr="00A12B5C">
        <w:t>, 104/16</w:t>
      </w:r>
      <w:r w:rsidR="00D10B85" w:rsidRPr="00A12B5C">
        <w:t>,</w:t>
      </w:r>
      <w:r w:rsidR="005827B8" w:rsidRPr="00A12B5C">
        <w:t xml:space="preserve"> 5/18</w:t>
      </w:r>
      <w:r w:rsidR="000600AF">
        <w:t>,</w:t>
      </w:r>
      <w:r w:rsidR="00D10B85" w:rsidRPr="00A12B5C">
        <w:t xml:space="preserve"> 11/19</w:t>
      </w:r>
      <w:r w:rsidR="000600AF">
        <w:t xml:space="preserve"> i 99/19</w:t>
      </w:r>
      <w:r w:rsidRPr="00A12B5C">
        <w:t xml:space="preserve">) Ministarstvo financija dužno je </w:t>
      </w:r>
      <w:r w:rsidR="00306627" w:rsidRPr="00A12B5C">
        <w:t>pravodobno dostaviti Vladi Županije Posavske izvješće o izvršenju Proračuna za prethodnu godinu, a koji Vlada podnosi na usvajanje Skupštini Županije Posavske u roku šest mjeseci od završetka fiskalne godine</w:t>
      </w:r>
      <w:r w:rsidRPr="00A12B5C">
        <w:t>.</w:t>
      </w:r>
      <w:r w:rsidR="00A5796C" w:rsidRPr="00A12B5C">
        <w:t xml:space="preserve"> </w:t>
      </w:r>
      <w:r w:rsidRPr="00A12B5C">
        <w:t xml:space="preserve">Izvršenje proračuna Županije Posavske vršeno je na temelju Zakona o proračunima u Federaciji Bosne i Hercegovine, Zakona o riznici u Federaciji BiH («Službene novine Federacije BiH», broj: </w:t>
      </w:r>
      <w:r w:rsidR="00D343D0" w:rsidRPr="00A12B5C">
        <w:t>26/16</w:t>
      </w:r>
      <w:r w:rsidR="000600AF">
        <w:t xml:space="preserve"> i 3/20</w:t>
      </w:r>
      <w:r w:rsidRPr="00A12B5C">
        <w:t>) i Zakona o izvršavanju Proračuna Županije Posavske za 201</w:t>
      </w:r>
      <w:r w:rsidR="000600AF">
        <w:t>9</w:t>
      </w:r>
      <w:r w:rsidRPr="00A12B5C">
        <w:t xml:space="preserve">.godinu («Narodne novine Županije Posavske», broj: </w:t>
      </w:r>
      <w:r w:rsidR="000600AF">
        <w:t>9</w:t>
      </w:r>
      <w:r w:rsidR="00F42A20" w:rsidRPr="00A12B5C">
        <w:t>/1</w:t>
      </w:r>
      <w:r w:rsidR="000600AF">
        <w:t>8</w:t>
      </w:r>
      <w:r w:rsidRPr="00A12B5C">
        <w:t>).</w:t>
      </w:r>
    </w:p>
    <w:p w:rsidR="009554E4" w:rsidRPr="00A12B5C" w:rsidRDefault="009554E4" w:rsidP="009554E4">
      <w:pPr>
        <w:jc w:val="both"/>
        <w:rPr>
          <w:sz w:val="12"/>
          <w:szCs w:val="12"/>
        </w:rPr>
      </w:pPr>
    </w:p>
    <w:p w:rsidR="00741F39" w:rsidRPr="00A12B5C" w:rsidRDefault="000E46AB" w:rsidP="009554E4">
      <w:pPr>
        <w:jc w:val="both"/>
      </w:pPr>
      <w:r w:rsidRPr="00A12B5C">
        <w:t>U prosincu 201</w:t>
      </w:r>
      <w:r w:rsidR="000600AF">
        <w:t>8</w:t>
      </w:r>
      <w:r w:rsidRPr="00A12B5C">
        <w:t>. godine usvojen je Proračun Županije Posavske za fiskalnu 201</w:t>
      </w:r>
      <w:r w:rsidR="000600AF">
        <w:t>9</w:t>
      </w:r>
      <w:r w:rsidRPr="00A12B5C">
        <w:t xml:space="preserve">. godinu („Narodne novine Županije Posavske“, broj: </w:t>
      </w:r>
      <w:r w:rsidR="000600AF">
        <w:t>9</w:t>
      </w:r>
      <w:r w:rsidRPr="00A12B5C">
        <w:t>/1</w:t>
      </w:r>
      <w:r w:rsidR="000600AF">
        <w:t>8</w:t>
      </w:r>
      <w:r w:rsidRPr="00A12B5C">
        <w:t xml:space="preserve">), kojim se planiraju prihodi, primici i financiranje u iznosu od </w:t>
      </w:r>
      <w:r w:rsidR="000600AF">
        <w:t>41.225.910</w:t>
      </w:r>
      <w:r w:rsidRPr="00A12B5C">
        <w:t xml:space="preserve"> KM, te proračunski rashodi i izdaci u iznosu od </w:t>
      </w:r>
      <w:r w:rsidR="000600AF">
        <w:t>41.220.340</w:t>
      </w:r>
      <w:r w:rsidRPr="00A12B5C">
        <w:t xml:space="preserve"> KM. Razlika između planiranih prihoda i rashoda za pokriće deficita iz prethodnih godina iznosi </w:t>
      </w:r>
      <w:r w:rsidR="000600AF">
        <w:t>5.570</w:t>
      </w:r>
      <w:r w:rsidRPr="00A12B5C">
        <w:t xml:space="preserve"> KM. </w:t>
      </w:r>
      <w:r w:rsidR="00D343D0" w:rsidRPr="00A12B5C">
        <w:t xml:space="preserve">U </w:t>
      </w:r>
      <w:r w:rsidRPr="00A12B5C">
        <w:t>prosincu</w:t>
      </w:r>
      <w:r w:rsidR="001D60BF" w:rsidRPr="00A12B5C">
        <w:t xml:space="preserve"> 201</w:t>
      </w:r>
      <w:r w:rsidR="000600AF">
        <w:t>9</w:t>
      </w:r>
      <w:r w:rsidR="001D60BF" w:rsidRPr="00A12B5C">
        <w:t>. godine usvojene su izmjene i dopune Proračuna Županije Posavske za 201</w:t>
      </w:r>
      <w:r w:rsidR="000600AF">
        <w:t>9</w:t>
      </w:r>
      <w:r w:rsidR="001D60BF" w:rsidRPr="00A12B5C">
        <w:t xml:space="preserve">. godinu („Narodne novine Županije Posavske“, broj: </w:t>
      </w:r>
      <w:r w:rsidR="000600AF">
        <w:t>13</w:t>
      </w:r>
      <w:r w:rsidR="00F42A20" w:rsidRPr="00A12B5C">
        <w:t>/1</w:t>
      </w:r>
      <w:r w:rsidR="000600AF">
        <w:t>9</w:t>
      </w:r>
      <w:r w:rsidR="001D60BF" w:rsidRPr="00A12B5C">
        <w:t xml:space="preserve">), kojim se prvobitno planirani prihodi, primici i financiranje </w:t>
      </w:r>
      <w:r w:rsidR="000600AF">
        <w:t>povećavaju</w:t>
      </w:r>
      <w:r w:rsidR="001D60BF" w:rsidRPr="00A12B5C">
        <w:t xml:space="preserve"> na </w:t>
      </w:r>
      <w:r w:rsidR="000600AF">
        <w:t>41.998.550</w:t>
      </w:r>
      <w:r w:rsidR="00584EC4" w:rsidRPr="00A12B5C">
        <w:t xml:space="preserve"> KM, a proračunski rashodi i izdaci </w:t>
      </w:r>
      <w:r w:rsidR="000600AF">
        <w:t>povećavaju</w:t>
      </w:r>
      <w:r w:rsidR="00584EC4" w:rsidRPr="00A12B5C">
        <w:t xml:space="preserve"> na </w:t>
      </w:r>
      <w:r w:rsidR="000600AF">
        <w:t>41.995.880</w:t>
      </w:r>
      <w:r w:rsidR="00584EC4" w:rsidRPr="00A12B5C">
        <w:t xml:space="preserve"> KM. Razlika između planiranih prihoda i rashoda za pokriće deficita iz prethodnih godina sa </w:t>
      </w:r>
      <w:r w:rsidR="000600AF">
        <w:t>5.570</w:t>
      </w:r>
      <w:r w:rsidR="00584EC4" w:rsidRPr="00A12B5C">
        <w:t xml:space="preserve"> KM </w:t>
      </w:r>
      <w:r w:rsidR="000600AF">
        <w:t>smanjena</w:t>
      </w:r>
      <w:r w:rsidR="00584EC4" w:rsidRPr="00A12B5C">
        <w:t xml:space="preserve"> je na </w:t>
      </w:r>
      <w:r w:rsidRPr="00A12B5C">
        <w:t>2.</w:t>
      </w:r>
      <w:r w:rsidR="000600AF">
        <w:t>67</w:t>
      </w:r>
      <w:r w:rsidRPr="00A12B5C">
        <w:t>0</w:t>
      </w:r>
      <w:r w:rsidR="00584EC4" w:rsidRPr="00A12B5C">
        <w:t xml:space="preserve"> KM.</w:t>
      </w:r>
      <w:r w:rsidR="00D165CD" w:rsidRPr="00A12B5C">
        <w:t xml:space="preserve"> Od usvajanja Izmjena i dopuna Proračuna Županije Posavske do zatvaranja fiskalne 201</w:t>
      </w:r>
      <w:r w:rsidR="000600AF">
        <w:t>9</w:t>
      </w:r>
      <w:r w:rsidR="00D165CD" w:rsidRPr="00A12B5C">
        <w:t xml:space="preserve">. godine </w:t>
      </w:r>
      <w:r w:rsidR="000600AF">
        <w:rPr>
          <w:b/>
          <w:i/>
        </w:rPr>
        <w:t xml:space="preserve">realizirana je jedna (1) Odluka o unosu i raspoređivanju sredstava u Proračun ŽP za 2019. g., čime se ukupan Proračun povećao za 5.000,00 KM (i prihodovna i rashodovna strana) pa na dan 31.12.2019. godine planirani prihodi, primici i financiranje iznose 42.003.550 KM, dok proračunski rashodi i izdaci iznose 42.000.880 KM. Planirani suficit je ostao </w:t>
      </w:r>
      <w:proofErr w:type="spellStart"/>
      <w:r w:rsidR="000600AF">
        <w:rPr>
          <w:b/>
          <w:i/>
        </w:rPr>
        <w:t>nepromijenjen.</w:t>
      </w:r>
      <w:proofErr w:type="spellEnd"/>
      <w:r w:rsidR="00D165CD" w:rsidRPr="00A12B5C">
        <w:t xml:space="preserve">. </w:t>
      </w:r>
      <w:r w:rsidR="000600AF">
        <w:t>U</w:t>
      </w:r>
      <w:r w:rsidR="00D165CD" w:rsidRPr="00A12B5C">
        <w:t xml:space="preserve"> unutarnj</w:t>
      </w:r>
      <w:r w:rsidR="000600AF">
        <w:t>oj</w:t>
      </w:r>
      <w:r w:rsidR="00D165CD" w:rsidRPr="00A12B5C">
        <w:t xml:space="preserve"> struktur</w:t>
      </w:r>
      <w:r w:rsidR="000600AF">
        <w:t>i</w:t>
      </w:r>
      <w:r w:rsidR="00D165CD" w:rsidRPr="00A12B5C">
        <w:t xml:space="preserve"> rashoda</w:t>
      </w:r>
      <w:r w:rsidR="000600AF">
        <w:t xml:space="preserve"> </w:t>
      </w:r>
      <w:r w:rsidR="00D165CD" w:rsidRPr="00A12B5C">
        <w:t>došlo</w:t>
      </w:r>
      <w:r w:rsidR="000600AF">
        <w:t xml:space="preserve"> je</w:t>
      </w:r>
      <w:r w:rsidR="00D165CD" w:rsidRPr="00A12B5C">
        <w:t xml:space="preserve"> do određenih promjena uslijed prestrukturiranja rashoda na zahtjev proračunskih korisnika. </w:t>
      </w:r>
    </w:p>
    <w:p w:rsidR="0065574A" w:rsidRPr="00A12B5C" w:rsidRDefault="0065574A" w:rsidP="009554E4">
      <w:pPr>
        <w:jc w:val="both"/>
        <w:rPr>
          <w:sz w:val="12"/>
          <w:szCs w:val="12"/>
        </w:rPr>
      </w:pPr>
    </w:p>
    <w:p w:rsidR="009554E4" w:rsidRPr="00A12B5C" w:rsidRDefault="009B127F" w:rsidP="009554E4">
      <w:pPr>
        <w:jc w:val="both"/>
      </w:pPr>
      <w:r w:rsidRPr="00A12B5C">
        <w:t xml:space="preserve">U </w:t>
      </w:r>
      <w:r w:rsidR="00865A96" w:rsidRPr="00A12B5C">
        <w:t>201</w:t>
      </w:r>
      <w:r w:rsidR="000600AF">
        <w:t>9</w:t>
      </w:r>
      <w:r w:rsidR="00865A96" w:rsidRPr="00A12B5C">
        <w:t>. godini</w:t>
      </w:r>
      <w:r w:rsidR="009554E4" w:rsidRPr="00A12B5C">
        <w:t xml:space="preserve"> ostvareni su prihodi</w:t>
      </w:r>
      <w:r w:rsidR="004C2E0E" w:rsidRPr="00A12B5C">
        <w:t xml:space="preserve">, </w:t>
      </w:r>
      <w:r w:rsidR="009554E4" w:rsidRPr="00A12B5C">
        <w:t xml:space="preserve">primici </w:t>
      </w:r>
      <w:r w:rsidR="004C2E0E" w:rsidRPr="00A12B5C">
        <w:t xml:space="preserve">i financiranje </w:t>
      </w:r>
      <w:r w:rsidR="009554E4" w:rsidRPr="00A12B5C">
        <w:t xml:space="preserve">u iznosu od </w:t>
      </w:r>
      <w:r w:rsidR="000600AF">
        <w:t>42.053.671</w:t>
      </w:r>
      <w:r w:rsidR="009554E4" w:rsidRPr="00A12B5C">
        <w:t xml:space="preserve"> KM</w:t>
      </w:r>
      <w:r w:rsidR="00601F3E" w:rsidRPr="00A12B5C">
        <w:t>,</w:t>
      </w:r>
      <w:r w:rsidR="009554E4" w:rsidRPr="00A12B5C">
        <w:t xml:space="preserve"> dok su rashodi i izdaci izvršeni u iznosu od </w:t>
      </w:r>
      <w:r w:rsidR="000600AF">
        <w:t>41.068.593</w:t>
      </w:r>
      <w:r w:rsidR="009554E4" w:rsidRPr="00A12B5C">
        <w:t xml:space="preserve"> KM</w:t>
      </w:r>
      <w:r w:rsidR="00601F3E" w:rsidRPr="00A12B5C">
        <w:t>,</w:t>
      </w:r>
      <w:r w:rsidR="009554E4" w:rsidRPr="00A12B5C">
        <w:t xml:space="preserve"> tako da ra</w:t>
      </w:r>
      <w:r w:rsidR="004C2E0E" w:rsidRPr="00A12B5C">
        <w:t>zlika između ostvarenih prihoda,</w:t>
      </w:r>
      <w:r w:rsidR="009554E4" w:rsidRPr="00A12B5C">
        <w:t xml:space="preserve"> primitaka</w:t>
      </w:r>
      <w:r w:rsidR="004C2E0E" w:rsidRPr="00A12B5C">
        <w:t xml:space="preserve"> i financiranja</w:t>
      </w:r>
      <w:r w:rsidR="009554E4" w:rsidRPr="00A12B5C">
        <w:t xml:space="preserve"> i izvršenih rashoda i izdataka iznosi </w:t>
      </w:r>
      <w:r w:rsidR="000600AF">
        <w:t>985.078</w:t>
      </w:r>
      <w:r w:rsidR="009554E4" w:rsidRPr="00A12B5C">
        <w:t xml:space="preserve"> KM.</w:t>
      </w:r>
      <w:r w:rsidR="00D165CD" w:rsidRPr="00A12B5C">
        <w:t xml:space="preserve"> </w:t>
      </w:r>
      <w:r w:rsidR="009554E4" w:rsidRPr="00A12B5C">
        <w:t>Ostvarenje prihoda i rashoda Proračuna Županije Posavske u razdoblju siječanj-</w:t>
      </w:r>
      <w:r w:rsidR="00865A96" w:rsidRPr="00A12B5C">
        <w:t>prosinac</w:t>
      </w:r>
      <w:r w:rsidR="0065574A" w:rsidRPr="00A12B5C">
        <w:t xml:space="preserve"> </w:t>
      </w:r>
      <w:r w:rsidR="009554E4" w:rsidRPr="00A12B5C">
        <w:t>201</w:t>
      </w:r>
      <w:r w:rsidR="000600AF">
        <w:t>9</w:t>
      </w:r>
      <w:r w:rsidR="009554E4" w:rsidRPr="00A12B5C">
        <w:t xml:space="preserve">. godine po mjesecima kumulativno prikazano je na </w:t>
      </w:r>
      <w:r w:rsidR="009554E4" w:rsidRPr="00CC0132">
        <w:t>Grafu 1.</w:t>
      </w:r>
    </w:p>
    <w:p w:rsidR="009554E4" w:rsidRPr="00A12B5C" w:rsidRDefault="009554E4" w:rsidP="009554E4">
      <w:pPr>
        <w:jc w:val="both"/>
        <w:rPr>
          <w:sz w:val="12"/>
          <w:szCs w:val="12"/>
        </w:rPr>
      </w:pPr>
    </w:p>
    <w:p w:rsidR="009554E4" w:rsidRPr="00A12B5C" w:rsidRDefault="009554E4" w:rsidP="009554E4">
      <w:pPr>
        <w:jc w:val="center"/>
      </w:pPr>
      <w:r w:rsidRPr="00A12B5C">
        <w:rPr>
          <w:noProof/>
          <w:lang w:eastAsia="hr-HR"/>
        </w:rPr>
        <w:drawing>
          <wp:inline distT="0" distB="0" distL="0" distR="0">
            <wp:extent cx="5145741" cy="2653553"/>
            <wp:effectExtent l="19050" t="0" r="16809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54E4" w:rsidRPr="00A12B5C" w:rsidRDefault="009554E4" w:rsidP="009554E4">
      <w:pPr>
        <w:jc w:val="center"/>
        <w:rPr>
          <w:sz w:val="20"/>
          <w:szCs w:val="20"/>
        </w:rPr>
      </w:pPr>
      <w:r w:rsidRPr="00A12B5C">
        <w:rPr>
          <w:sz w:val="20"/>
          <w:szCs w:val="20"/>
        </w:rPr>
        <w:t>Graf 1. Ostvarenje prihoda i rashoda Proračuna Županije Posavske u 201</w:t>
      </w:r>
      <w:r w:rsidR="000600AF">
        <w:rPr>
          <w:sz w:val="20"/>
          <w:szCs w:val="20"/>
        </w:rPr>
        <w:t>9</w:t>
      </w:r>
      <w:r w:rsidRPr="00A12B5C">
        <w:rPr>
          <w:sz w:val="20"/>
          <w:szCs w:val="20"/>
        </w:rPr>
        <w:t>. godin</w:t>
      </w:r>
      <w:r w:rsidR="00F76701" w:rsidRPr="00A12B5C">
        <w:rPr>
          <w:sz w:val="20"/>
          <w:szCs w:val="20"/>
        </w:rPr>
        <w:t>i</w:t>
      </w:r>
      <w:r w:rsidRPr="00A12B5C">
        <w:rPr>
          <w:sz w:val="20"/>
          <w:szCs w:val="20"/>
        </w:rPr>
        <w:t xml:space="preserve"> </w:t>
      </w:r>
    </w:p>
    <w:p w:rsidR="009554E4" w:rsidRPr="00A12B5C" w:rsidRDefault="009554E4" w:rsidP="009554E4">
      <w:pPr>
        <w:jc w:val="center"/>
        <w:rPr>
          <w:sz w:val="20"/>
          <w:szCs w:val="20"/>
        </w:rPr>
      </w:pPr>
      <w:r w:rsidRPr="00A12B5C">
        <w:rPr>
          <w:sz w:val="20"/>
          <w:szCs w:val="20"/>
        </w:rPr>
        <w:t>po mjesecima, kumulativno (u KM)</w:t>
      </w:r>
    </w:p>
    <w:p w:rsidR="009554E4" w:rsidRPr="00A12B5C" w:rsidRDefault="009554E4" w:rsidP="009554E4">
      <w:pPr>
        <w:jc w:val="both"/>
        <w:rPr>
          <w:sz w:val="12"/>
          <w:szCs w:val="12"/>
        </w:rPr>
      </w:pPr>
    </w:p>
    <w:p w:rsidR="009554E4" w:rsidRPr="00A12B5C" w:rsidRDefault="009554E4" w:rsidP="00A5796C">
      <w:pPr>
        <w:jc w:val="both"/>
        <w:rPr>
          <w:b/>
          <w:szCs w:val="24"/>
        </w:rPr>
      </w:pPr>
      <w:r w:rsidRPr="00A12B5C">
        <w:rPr>
          <w:szCs w:val="24"/>
        </w:rPr>
        <w:lastRenderedPageBreak/>
        <w:t>U nastavku izvješća dat je detaljan pregled ostvarenih prihoda</w:t>
      </w:r>
      <w:r w:rsidR="00F300AC" w:rsidRPr="00A12B5C">
        <w:rPr>
          <w:szCs w:val="24"/>
        </w:rPr>
        <w:t>, primitaka i financiranja</w:t>
      </w:r>
      <w:r w:rsidRPr="00A12B5C">
        <w:rPr>
          <w:szCs w:val="24"/>
        </w:rPr>
        <w:t xml:space="preserve"> </w:t>
      </w:r>
      <w:r w:rsidR="00F300AC" w:rsidRPr="00A12B5C">
        <w:rPr>
          <w:szCs w:val="24"/>
        </w:rPr>
        <w:t>te</w:t>
      </w:r>
      <w:r w:rsidRPr="00A12B5C">
        <w:rPr>
          <w:szCs w:val="24"/>
        </w:rPr>
        <w:t xml:space="preserve"> izvršenih rashoda </w:t>
      </w:r>
      <w:r w:rsidR="00F300AC" w:rsidRPr="00A12B5C">
        <w:rPr>
          <w:szCs w:val="24"/>
        </w:rPr>
        <w:t xml:space="preserve">i izdataka </w:t>
      </w:r>
      <w:r w:rsidRPr="00A12B5C">
        <w:rPr>
          <w:szCs w:val="24"/>
        </w:rPr>
        <w:t>Proračuna Županije Posavske za 201</w:t>
      </w:r>
      <w:r w:rsidR="000600AF">
        <w:rPr>
          <w:szCs w:val="24"/>
        </w:rPr>
        <w:t>9</w:t>
      </w:r>
      <w:r w:rsidRPr="00A12B5C">
        <w:rPr>
          <w:szCs w:val="24"/>
        </w:rPr>
        <w:t>. godin</w:t>
      </w:r>
      <w:r w:rsidR="00F76701" w:rsidRPr="00A12B5C">
        <w:rPr>
          <w:szCs w:val="24"/>
        </w:rPr>
        <w:t>u</w:t>
      </w:r>
      <w:r w:rsidRPr="00A12B5C">
        <w:rPr>
          <w:szCs w:val="24"/>
        </w:rPr>
        <w:t>.</w:t>
      </w:r>
      <w:r w:rsidR="000600AF">
        <w:rPr>
          <w:szCs w:val="24"/>
        </w:rPr>
        <w:t xml:space="preserve"> </w:t>
      </w:r>
    </w:p>
    <w:p w:rsidR="000600AF" w:rsidRDefault="000600AF" w:rsidP="009554E4">
      <w:pPr>
        <w:jc w:val="both"/>
        <w:rPr>
          <w:b/>
          <w:szCs w:val="24"/>
        </w:rPr>
      </w:pPr>
    </w:p>
    <w:p w:rsidR="000600AF" w:rsidRDefault="000600AF" w:rsidP="009554E4">
      <w:pPr>
        <w:jc w:val="both"/>
        <w:rPr>
          <w:b/>
          <w:szCs w:val="24"/>
        </w:rPr>
      </w:pPr>
    </w:p>
    <w:p w:rsidR="009554E4" w:rsidRPr="00A12B5C" w:rsidRDefault="00AD16F2" w:rsidP="009554E4">
      <w:pPr>
        <w:jc w:val="both"/>
        <w:rPr>
          <w:b/>
          <w:szCs w:val="24"/>
        </w:rPr>
      </w:pPr>
      <w:r w:rsidRPr="00CC0132">
        <w:rPr>
          <w:b/>
          <w:szCs w:val="24"/>
        </w:rPr>
        <w:t>1</w:t>
      </w:r>
      <w:r w:rsidR="009554E4" w:rsidRPr="00CC0132">
        <w:rPr>
          <w:b/>
          <w:szCs w:val="24"/>
        </w:rPr>
        <w:tab/>
      </w:r>
      <w:r w:rsidRPr="00CC0132">
        <w:rPr>
          <w:b/>
          <w:szCs w:val="24"/>
        </w:rPr>
        <w:t>PRORAČUNSKI PRIHODI</w:t>
      </w:r>
    </w:p>
    <w:p w:rsidR="009554E4" w:rsidRPr="00A12B5C" w:rsidRDefault="009554E4" w:rsidP="009554E4">
      <w:pPr>
        <w:jc w:val="both"/>
        <w:rPr>
          <w:szCs w:val="24"/>
        </w:rPr>
      </w:pPr>
    </w:p>
    <w:p w:rsidR="009554E4" w:rsidRPr="00A12B5C" w:rsidRDefault="009554E4" w:rsidP="009554E4">
      <w:pPr>
        <w:pStyle w:val="Uvuenotijeloteksta"/>
        <w:spacing w:line="240" w:lineRule="auto"/>
        <w:ind w:firstLine="0"/>
      </w:pPr>
      <w:r w:rsidRPr="00A12B5C">
        <w:t xml:space="preserve">Ukupno ostvareni </w:t>
      </w:r>
      <w:r w:rsidR="00AD16F2" w:rsidRPr="00A12B5C">
        <w:t>prihodi</w:t>
      </w:r>
      <w:r w:rsidR="005E5BDD" w:rsidRPr="00A12B5C">
        <w:t xml:space="preserve"> </w:t>
      </w:r>
      <w:r w:rsidRPr="00A12B5C">
        <w:t>Proračuna Županije Posavske za 201</w:t>
      </w:r>
      <w:r w:rsidR="00485E6A">
        <w:t>9</w:t>
      </w:r>
      <w:r w:rsidRPr="00A12B5C">
        <w:t>.</w:t>
      </w:r>
      <w:r w:rsidR="00261B4B" w:rsidRPr="00A12B5C">
        <w:t xml:space="preserve"> </w:t>
      </w:r>
      <w:r w:rsidRPr="00A12B5C">
        <w:t>godin</w:t>
      </w:r>
      <w:r w:rsidR="00F76701" w:rsidRPr="00A12B5C">
        <w:t>u</w:t>
      </w:r>
      <w:r w:rsidRPr="00A12B5C">
        <w:t xml:space="preserve"> iznose </w:t>
      </w:r>
      <w:r w:rsidR="00F5537B">
        <w:t>42.048.235</w:t>
      </w:r>
      <w:r w:rsidRPr="00A12B5C">
        <w:t xml:space="preserve"> KM, odnosno </w:t>
      </w:r>
      <w:r w:rsidR="00F5537B">
        <w:t>100,12</w:t>
      </w:r>
      <w:r w:rsidRPr="00A12B5C">
        <w:t xml:space="preserve">% u odnosu na planirane </w:t>
      </w:r>
      <w:r w:rsidR="00F5537B">
        <w:t xml:space="preserve">proračunske </w:t>
      </w:r>
      <w:r w:rsidRPr="00A12B5C">
        <w:t>prihode fiskalne 201</w:t>
      </w:r>
      <w:r w:rsidR="00F5537B">
        <w:t>9</w:t>
      </w:r>
      <w:r w:rsidRPr="00A12B5C">
        <w:t>.godine</w:t>
      </w:r>
      <w:r w:rsidR="00F76701" w:rsidRPr="00A12B5C">
        <w:t xml:space="preserve">, </w:t>
      </w:r>
      <w:r w:rsidRPr="00A12B5C">
        <w:t xml:space="preserve">odnosno u apsolutnom iznosu ostvareno je </w:t>
      </w:r>
      <w:r w:rsidR="00CC0132">
        <w:t>50.121</w:t>
      </w:r>
      <w:r w:rsidRPr="00A12B5C">
        <w:t xml:space="preserve"> KM </w:t>
      </w:r>
      <w:r w:rsidR="00CC0132">
        <w:t>više</w:t>
      </w:r>
      <w:r w:rsidRPr="00A12B5C">
        <w:t xml:space="preserve"> prihoda.</w:t>
      </w:r>
      <w:r w:rsidR="00741F39" w:rsidRPr="00A12B5C">
        <w:t xml:space="preserve"> </w:t>
      </w:r>
      <w:r w:rsidRPr="00A12B5C">
        <w:t>U odnosu na ostvarene prihode u fiskaln</w:t>
      </w:r>
      <w:r w:rsidR="00F76701" w:rsidRPr="00A12B5C">
        <w:t>oj</w:t>
      </w:r>
      <w:r w:rsidRPr="00A12B5C">
        <w:t xml:space="preserve"> 201</w:t>
      </w:r>
      <w:r w:rsidR="00CC0132">
        <w:t>8</w:t>
      </w:r>
      <w:r w:rsidRPr="00A12B5C">
        <w:t>. godin</w:t>
      </w:r>
      <w:r w:rsidR="00F76701" w:rsidRPr="00A12B5C">
        <w:t>i</w:t>
      </w:r>
      <w:r w:rsidRPr="00A12B5C">
        <w:t xml:space="preserve"> ostvareni prihodi </w:t>
      </w:r>
      <w:r w:rsidR="00261B4B" w:rsidRPr="00A12B5C">
        <w:t xml:space="preserve">u </w:t>
      </w:r>
      <w:r w:rsidR="00F76701" w:rsidRPr="00A12B5C">
        <w:t>fiskalnoj</w:t>
      </w:r>
      <w:r w:rsidR="00261B4B" w:rsidRPr="00A12B5C">
        <w:t xml:space="preserve"> 201</w:t>
      </w:r>
      <w:r w:rsidR="00CC0132">
        <w:t>9</w:t>
      </w:r>
      <w:r w:rsidRPr="00A12B5C">
        <w:t>. godin</w:t>
      </w:r>
      <w:r w:rsidR="00F76701" w:rsidRPr="00A12B5C">
        <w:t>i</w:t>
      </w:r>
      <w:r w:rsidRPr="00A12B5C">
        <w:t xml:space="preserve"> </w:t>
      </w:r>
      <w:r w:rsidR="00D643A3" w:rsidRPr="00A12B5C">
        <w:t>veći</w:t>
      </w:r>
      <w:r w:rsidRPr="00A12B5C">
        <w:t xml:space="preserve"> su za</w:t>
      </w:r>
      <w:r w:rsidR="005E5BDD" w:rsidRPr="00A12B5C">
        <w:t xml:space="preserve"> </w:t>
      </w:r>
      <w:r w:rsidR="00D643A3" w:rsidRPr="00A12B5C">
        <w:t>1.</w:t>
      </w:r>
      <w:r w:rsidR="00CC0132">
        <w:t>352.962</w:t>
      </w:r>
      <w:r w:rsidR="009D6123" w:rsidRPr="00A12B5C">
        <w:t xml:space="preserve"> KM</w:t>
      </w:r>
      <w:r w:rsidR="00741F39" w:rsidRPr="00A12B5C">
        <w:t>,</w:t>
      </w:r>
      <w:r w:rsidRPr="00A12B5C">
        <w:t xml:space="preserve"> odnosno </w:t>
      </w:r>
      <w:r w:rsidR="00D643A3" w:rsidRPr="00A12B5C">
        <w:t>3,</w:t>
      </w:r>
      <w:r w:rsidR="00CC0132">
        <w:t>32</w:t>
      </w:r>
      <w:r w:rsidRPr="00A12B5C">
        <w:t xml:space="preserve">% </w:t>
      </w:r>
      <w:r w:rsidR="00D643A3" w:rsidRPr="00A12B5C">
        <w:t>veći</w:t>
      </w:r>
      <w:r w:rsidRPr="00A12B5C">
        <w:t>.</w:t>
      </w:r>
    </w:p>
    <w:p w:rsidR="009554E4" w:rsidRPr="00A12B5C" w:rsidRDefault="009554E4" w:rsidP="009554E4">
      <w:pPr>
        <w:jc w:val="both"/>
        <w:rPr>
          <w:color w:val="FF0000"/>
        </w:rPr>
      </w:pPr>
    </w:p>
    <w:p w:rsidR="009554E4" w:rsidRPr="00A12B5C" w:rsidRDefault="009554E4" w:rsidP="009554E4">
      <w:pPr>
        <w:jc w:val="both"/>
      </w:pPr>
      <w:r w:rsidRPr="00A12B5C">
        <w:t>Svi prihodi proračuna evidentirani su sukladno Pravilniku o prikupljanju javnih prihoda, što znači da su uplaćivani na depozitni račun javnih prihoda Proračuna i raspoređeni sukladno Zakonu o pripadnosti javn</w:t>
      </w:r>
      <w:r w:rsidR="00CC0132">
        <w:t>ih prihoda u Županiji Posavskoj, i ostalim važećim propisima.</w:t>
      </w:r>
    </w:p>
    <w:p w:rsidR="009554E4" w:rsidRPr="00A12B5C" w:rsidRDefault="009554E4" w:rsidP="009554E4">
      <w:pPr>
        <w:jc w:val="both"/>
      </w:pPr>
    </w:p>
    <w:p w:rsidR="009554E4" w:rsidRPr="00A12B5C" w:rsidRDefault="009554E4" w:rsidP="009554E4">
      <w:pPr>
        <w:jc w:val="both"/>
      </w:pPr>
      <w:r w:rsidRPr="00A12B5C">
        <w:t>Struktura ostvarenih prihoda Proračuna prikazana je u Tablici 1. i Grafu 2.</w:t>
      </w:r>
    </w:p>
    <w:p w:rsidR="009554E4" w:rsidRPr="00A12B5C" w:rsidRDefault="009554E4" w:rsidP="009554E4">
      <w:pPr>
        <w:jc w:val="both"/>
      </w:pPr>
    </w:p>
    <w:p w:rsidR="009554E4" w:rsidRPr="00A12B5C" w:rsidRDefault="009554E4" w:rsidP="009554E4">
      <w:pPr>
        <w:jc w:val="both"/>
        <w:rPr>
          <w:sz w:val="20"/>
          <w:szCs w:val="20"/>
        </w:rPr>
      </w:pPr>
      <w:r w:rsidRPr="00A12B5C">
        <w:rPr>
          <w:sz w:val="20"/>
          <w:szCs w:val="20"/>
        </w:rPr>
        <w:t xml:space="preserve">Tablica 1. Struktura ostvarenih prihoda Proračuna </w:t>
      </w:r>
      <w:r w:rsidR="00B10F60" w:rsidRPr="00A12B5C">
        <w:rPr>
          <w:sz w:val="20"/>
          <w:szCs w:val="20"/>
        </w:rPr>
        <w:t>ŽP</w:t>
      </w:r>
      <w:r w:rsidRPr="00A12B5C">
        <w:rPr>
          <w:sz w:val="20"/>
          <w:szCs w:val="20"/>
        </w:rPr>
        <w:t xml:space="preserve"> u </w:t>
      </w:r>
      <w:r w:rsidR="00A24189" w:rsidRPr="00A12B5C">
        <w:rPr>
          <w:sz w:val="20"/>
          <w:szCs w:val="20"/>
        </w:rPr>
        <w:t>201</w:t>
      </w:r>
      <w:r w:rsidR="00CC0132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9554E4" w:rsidRPr="00A12B5C" w:rsidTr="0061256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9554E4" w:rsidRPr="00A12B5C" w:rsidRDefault="009554E4" w:rsidP="00612567">
            <w:pPr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9554E4" w:rsidRPr="00A12B5C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Ostvareno</w:t>
            </w:r>
          </w:p>
          <w:p w:rsidR="009554E4" w:rsidRPr="00A12B5C" w:rsidRDefault="009554E4" w:rsidP="00CC0132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201</w:t>
            </w:r>
            <w:r w:rsidR="00CC0132">
              <w:rPr>
                <w:b/>
                <w:sz w:val="22"/>
              </w:rPr>
              <w:t>9</w:t>
            </w:r>
            <w:r w:rsidRPr="00A12B5C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9554E4" w:rsidRPr="00A12B5C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 xml:space="preserve">% </w:t>
            </w:r>
          </w:p>
          <w:p w:rsidR="009554E4" w:rsidRPr="00A12B5C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učešća</w:t>
            </w:r>
          </w:p>
        </w:tc>
      </w:tr>
      <w:tr w:rsidR="009554E4" w:rsidRPr="00A12B5C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2B5C" w:rsidRDefault="009554E4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Prihodi od poreza</w:t>
            </w:r>
          </w:p>
        </w:tc>
        <w:tc>
          <w:tcPr>
            <w:tcW w:w="3260" w:type="dxa"/>
          </w:tcPr>
          <w:p w:rsidR="009554E4" w:rsidRPr="00A12B5C" w:rsidRDefault="00CC0132" w:rsidP="00741F39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38.101.400</w:t>
            </w:r>
          </w:p>
        </w:tc>
        <w:tc>
          <w:tcPr>
            <w:tcW w:w="1525" w:type="dxa"/>
          </w:tcPr>
          <w:p w:rsidR="009554E4" w:rsidRPr="00A12B5C" w:rsidRDefault="00CC0132" w:rsidP="00F76701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90,61</w:t>
            </w:r>
          </w:p>
        </w:tc>
      </w:tr>
      <w:tr w:rsidR="009554E4" w:rsidRPr="00A12B5C" w:rsidTr="00612567">
        <w:tc>
          <w:tcPr>
            <w:cnfStyle w:val="001000000000"/>
            <w:tcW w:w="4503" w:type="dxa"/>
          </w:tcPr>
          <w:p w:rsidR="009554E4" w:rsidRPr="00A12B5C" w:rsidRDefault="009554E4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Neporezni prihodi</w:t>
            </w:r>
          </w:p>
        </w:tc>
        <w:tc>
          <w:tcPr>
            <w:tcW w:w="3260" w:type="dxa"/>
          </w:tcPr>
          <w:p w:rsidR="009554E4" w:rsidRPr="00A12B5C" w:rsidRDefault="00CC0132" w:rsidP="000C75A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2.824.894</w:t>
            </w:r>
          </w:p>
        </w:tc>
        <w:tc>
          <w:tcPr>
            <w:tcW w:w="1525" w:type="dxa"/>
          </w:tcPr>
          <w:p w:rsidR="009554E4" w:rsidRPr="00A12B5C" w:rsidRDefault="00403B9E" w:rsidP="00AF4151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6,72</w:t>
            </w:r>
          </w:p>
        </w:tc>
      </w:tr>
      <w:tr w:rsidR="009554E4" w:rsidRPr="00A12B5C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2B5C" w:rsidRDefault="009554E4" w:rsidP="0077285E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Tekuć</w:t>
            </w:r>
            <w:r w:rsidR="0077285E" w:rsidRPr="00A12B5C">
              <w:rPr>
                <w:sz w:val="22"/>
              </w:rPr>
              <w:t>i</w:t>
            </w:r>
            <w:r w:rsidRPr="00A12B5C">
              <w:rPr>
                <w:sz w:val="22"/>
              </w:rPr>
              <w:t xml:space="preserve"> </w:t>
            </w:r>
            <w:r w:rsidR="007B1C26" w:rsidRPr="00A12B5C">
              <w:rPr>
                <w:sz w:val="22"/>
              </w:rPr>
              <w:t>grantovi (grantovi i donacije)</w:t>
            </w:r>
          </w:p>
        </w:tc>
        <w:tc>
          <w:tcPr>
            <w:tcW w:w="3260" w:type="dxa"/>
          </w:tcPr>
          <w:p w:rsidR="009554E4" w:rsidRPr="00A12B5C" w:rsidRDefault="00CC0132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968.494</w:t>
            </w:r>
          </w:p>
        </w:tc>
        <w:tc>
          <w:tcPr>
            <w:tcW w:w="1525" w:type="dxa"/>
          </w:tcPr>
          <w:p w:rsidR="009554E4" w:rsidRPr="00A12B5C" w:rsidRDefault="00403B9E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2,30</w:t>
            </w:r>
          </w:p>
        </w:tc>
      </w:tr>
      <w:tr w:rsidR="009554E4" w:rsidRPr="00A12B5C" w:rsidTr="00612567">
        <w:tc>
          <w:tcPr>
            <w:cnfStyle w:val="001000000000"/>
            <w:tcW w:w="4503" w:type="dxa"/>
          </w:tcPr>
          <w:p w:rsidR="009554E4" w:rsidRPr="00A12B5C" w:rsidRDefault="009554E4" w:rsidP="007B1C26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 xml:space="preserve">Kapitalni </w:t>
            </w:r>
            <w:r w:rsidR="007B1C26" w:rsidRPr="00A12B5C">
              <w:rPr>
                <w:sz w:val="22"/>
              </w:rPr>
              <w:t>grantovi</w:t>
            </w:r>
          </w:p>
        </w:tc>
        <w:tc>
          <w:tcPr>
            <w:tcW w:w="3260" w:type="dxa"/>
          </w:tcPr>
          <w:p w:rsidR="009554E4" w:rsidRPr="00A12B5C" w:rsidRDefault="00CC0132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152.132</w:t>
            </w:r>
          </w:p>
        </w:tc>
        <w:tc>
          <w:tcPr>
            <w:tcW w:w="1525" w:type="dxa"/>
          </w:tcPr>
          <w:p w:rsidR="009554E4" w:rsidRPr="00A12B5C" w:rsidRDefault="00403B9E" w:rsidP="007B1C26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0,36</w:t>
            </w:r>
          </w:p>
        </w:tc>
      </w:tr>
      <w:tr w:rsidR="007B1C26" w:rsidRPr="00A12B5C" w:rsidTr="00612567">
        <w:trPr>
          <w:cnfStyle w:val="000000100000"/>
        </w:trPr>
        <w:tc>
          <w:tcPr>
            <w:cnfStyle w:val="001000000000"/>
            <w:tcW w:w="4503" w:type="dxa"/>
          </w:tcPr>
          <w:p w:rsidR="007B1C26" w:rsidRPr="00A12B5C" w:rsidRDefault="007B1C26" w:rsidP="007B1C26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Prihodi po osnovi zaostalih obveza</w:t>
            </w:r>
          </w:p>
        </w:tc>
        <w:tc>
          <w:tcPr>
            <w:tcW w:w="3260" w:type="dxa"/>
          </w:tcPr>
          <w:p w:rsidR="007B1C26" w:rsidRPr="00A12B5C" w:rsidRDefault="00CC0132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1.315</w:t>
            </w:r>
          </w:p>
        </w:tc>
        <w:tc>
          <w:tcPr>
            <w:tcW w:w="1525" w:type="dxa"/>
          </w:tcPr>
          <w:p w:rsidR="007B1C26" w:rsidRPr="00A12B5C" w:rsidRDefault="00403B9E" w:rsidP="00FF1F69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</w:tr>
      <w:tr w:rsidR="009554E4" w:rsidRPr="00A12B5C" w:rsidTr="00612567">
        <w:tc>
          <w:tcPr>
            <w:cnfStyle w:val="001000000000"/>
            <w:tcW w:w="4503" w:type="dxa"/>
          </w:tcPr>
          <w:p w:rsidR="009554E4" w:rsidRPr="00A12B5C" w:rsidRDefault="009554E4" w:rsidP="00612567">
            <w:pPr>
              <w:jc w:val="both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9554E4" w:rsidRPr="00A12B5C" w:rsidRDefault="00F2547B" w:rsidP="000C75AE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CC0132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CC0132">
              <w:rPr>
                <w:b/>
                <w:noProof/>
                <w:sz w:val="22"/>
              </w:rPr>
              <w:t>42.048.235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9554E4" w:rsidRPr="00A12B5C" w:rsidRDefault="00F2547B" w:rsidP="00AF4151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403B9E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403B9E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403B9E">
              <w:rPr>
                <w:b/>
                <w:sz w:val="22"/>
              </w:rPr>
              <w:t>,00</w:t>
            </w:r>
          </w:p>
        </w:tc>
      </w:tr>
    </w:tbl>
    <w:p w:rsidR="009554E4" w:rsidRPr="00A12B5C" w:rsidRDefault="009554E4" w:rsidP="009554E4">
      <w:pPr>
        <w:jc w:val="both"/>
      </w:pPr>
    </w:p>
    <w:p w:rsidR="009554E4" w:rsidRPr="00A12B5C" w:rsidRDefault="009554E4" w:rsidP="009554E4">
      <w:pPr>
        <w:jc w:val="both"/>
      </w:pPr>
    </w:p>
    <w:p w:rsidR="009554E4" w:rsidRPr="00A12B5C" w:rsidRDefault="009554E4" w:rsidP="009554E4">
      <w:pPr>
        <w:jc w:val="center"/>
      </w:pPr>
      <w:r w:rsidRPr="00A12B5C">
        <w:rPr>
          <w:noProof/>
          <w:lang w:eastAsia="hr-HR"/>
        </w:rPr>
        <w:drawing>
          <wp:inline distT="0" distB="0" distL="0" distR="0">
            <wp:extent cx="4429063" cy="2271252"/>
            <wp:effectExtent l="1905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54E4" w:rsidRPr="00A12B5C" w:rsidRDefault="009554E4" w:rsidP="009554E4">
      <w:pPr>
        <w:jc w:val="center"/>
        <w:rPr>
          <w:sz w:val="20"/>
          <w:szCs w:val="20"/>
        </w:rPr>
      </w:pPr>
      <w:r w:rsidRPr="00A12B5C">
        <w:rPr>
          <w:sz w:val="20"/>
          <w:szCs w:val="20"/>
        </w:rPr>
        <w:t xml:space="preserve">Graf 2. Struktura ostvarenih prihoda Proračuna </w:t>
      </w:r>
      <w:r w:rsidR="0077285E" w:rsidRPr="00A12B5C">
        <w:rPr>
          <w:sz w:val="20"/>
          <w:szCs w:val="20"/>
        </w:rPr>
        <w:t>ŽP</w:t>
      </w:r>
      <w:r w:rsidR="00261B4B" w:rsidRPr="00A12B5C">
        <w:rPr>
          <w:sz w:val="20"/>
          <w:szCs w:val="20"/>
        </w:rPr>
        <w:t xml:space="preserve"> u </w:t>
      </w:r>
      <w:r w:rsidRPr="00A12B5C">
        <w:rPr>
          <w:sz w:val="20"/>
          <w:szCs w:val="20"/>
        </w:rPr>
        <w:t>201</w:t>
      </w:r>
      <w:r w:rsidR="00403B9E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p w:rsidR="009554E4" w:rsidRPr="00A12B5C" w:rsidRDefault="009554E4" w:rsidP="009554E4">
      <w:pPr>
        <w:jc w:val="center"/>
        <w:rPr>
          <w:sz w:val="20"/>
          <w:szCs w:val="20"/>
        </w:rPr>
      </w:pPr>
    </w:p>
    <w:p w:rsidR="009554E4" w:rsidRPr="00A12B5C" w:rsidRDefault="009554E4" w:rsidP="009554E4">
      <w:pPr>
        <w:jc w:val="center"/>
      </w:pPr>
    </w:p>
    <w:p w:rsidR="009554E4" w:rsidRPr="00A12B5C" w:rsidRDefault="00AD16F2" w:rsidP="009554E4">
      <w:pPr>
        <w:pStyle w:val="Naslov1"/>
        <w:ind w:firstLine="0"/>
      </w:pPr>
      <w:r w:rsidRPr="00A12B5C">
        <w:t>1</w:t>
      </w:r>
      <w:r w:rsidR="009554E4" w:rsidRPr="00A12B5C">
        <w:t xml:space="preserve">.1 </w:t>
      </w:r>
      <w:r w:rsidR="009554E4" w:rsidRPr="00A12B5C">
        <w:tab/>
      </w:r>
      <w:r w:rsidR="0077285E" w:rsidRPr="00A12B5C">
        <w:t xml:space="preserve">PRIHODI OD </w:t>
      </w:r>
      <w:r w:rsidR="009554E4" w:rsidRPr="00A12B5C">
        <w:t>POREZ</w:t>
      </w:r>
      <w:r w:rsidR="0077285E" w:rsidRPr="00A12B5C">
        <w:t>A</w:t>
      </w:r>
    </w:p>
    <w:p w:rsidR="009554E4" w:rsidRPr="00A12B5C" w:rsidRDefault="009554E4" w:rsidP="009554E4">
      <w:pPr>
        <w:ind w:firstLine="720"/>
        <w:jc w:val="both"/>
        <w:rPr>
          <w:b/>
          <w:bCs/>
          <w:u w:val="single"/>
        </w:rPr>
      </w:pPr>
    </w:p>
    <w:p w:rsidR="009554E4" w:rsidRPr="00A12B5C" w:rsidRDefault="009554E4" w:rsidP="009554E4">
      <w:pPr>
        <w:pStyle w:val="Uvuenotijeloteksta"/>
        <w:spacing w:line="240" w:lineRule="auto"/>
        <w:ind w:firstLine="0"/>
      </w:pPr>
      <w:r w:rsidRPr="00A12B5C">
        <w:t xml:space="preserve">Porezni prihodi (kategorija 710000) ostvareni su u iznosu od </w:t>
      </w:r>
      <w:r w:rsidR="004E75F4">
        <w:t>38</w:t>
      </w:r>
      <w:r w:rsidR="00D643A3" w:rsidRPr="00A12B5C">
        <w:t>.</w:t>
      </w:r>
      <w:r w:rsidR="004E75F4">
        <w:t>101</w:t>
      </w:r>
      <w:r w:rsidR="00D643A3" w:rsidRPr="00A12B5C">
        <w:t>.</w:t>
      </w:r>
      <w:r w:rsidR="004E75F4">
        <w:t>400</w:t>
      </w:r>
      <w:r w:rsidRPr="00A12B5C">
        <w:t xml:space="preserve"> KM, odnosno </w:t>
      </w:r>
      <w:r w:rsidR="004E75F4">
        <w:t>102,39</w:t>
      </w:r>
      <w:r w:rsidRPr="00A12B5C">
        <w:t>% u odnosu na planirane porezne prihode fiskalne 201</w:t>
      </w:r>
      <w:r w:rsidR="004E75F4">
        <w:t>9</w:t>
      </w:r>
      <w:r w:rsidRPr="00A12B5C">
        <w:t xml:space="preserve">. </w:t>
      </w:r>
      <w:r w:rsidR="009D6123" w:rsidRPr="00A12B5C">
        <w:t>g</w:t>
      </w:r>
      <w:r w:rsidRPr="00A12B5C">
        <w:t>odine</w:t>
      </w:r>
      <w:r w:rsidR="009D6123" w:rsidRPr="00A12B5C">
        <w:t xml:space="preserve">, odnosno ostvareno je </w:t>
      </w:r>
      <w:r w:rsidR="004E75F4">
        <w:t>889.560</w:t>
      </w:r>
      <w:r w:rsidR="009D6123" w:rsidRPr="00A12B5C">
        <w:t xml:space="preserve"> KM </w:t>
      </w:r>
      <w:r w:rsidR="00D643A3" w:rsidRPr="00A12B5C">
        <w:t>više</w:t>
      </w:r>
      <w:r w:rsidR="009D6123" w:rsidRPr="00A12B5C">
        <w:t xml:space="preserve"> od plana</w:t>
      </w:r>
      <w:r w:rsidRPr="00A12B5C">
        <w:t>.</w:t>
      </w:r>
      <w:r w:rsidR="00D17290">
        <w:t xml:space="preserve"> </w:t>
      </w:r>
      <w:r w:rsidRPr="00A12B5C">
        <w:t>Uspoređujući ostvarenje poreznih prihoda u fiskaln</w:t>
      </w:r>
      <w:r w:rsidR="009D6123" w:rsidRPr="00A12B5C">
        <w:t>oj</w:t>
      </w:r>
      <w:r w:rsidRPr="00A12B5C">
        <w:t xml:space="preserve"> 201</w:t>
      </w:r>
      <w:r w:rsidR="004E75F4">
        <w:t>8</w:t>
      </w:r>
      <w:r w:rsidRPr="00A12B5C">
        <w:t>. godin</w:t>
      </w:r>
      <w:r w:rsidR="009D6123" w:rsidRPr="00A12B5C">
        <w:t>i</w:t>
      </w:r>
      <w:r w:rsidRPr="00A12B5C">
        <w:t xml:space="preserve"> </w:t>
      </w:r>
      <w:r w:rsidRPr="00A12B5C">
        <w:lastRenderedPageBreak/>
        <w:t>ostvareni porezni prihodi u fiskalnoj 201</w:t>
      </w:r>
      <w:r w:rsidR="004E75F4">
        <w:t>9</w:t>
      </w:r>
      <w:r w:rsidRPr="00A12B5C">
        <w:t xml:space="preserve">. godine </w:t>
      </w:r>
      <w:r w:rsidR="00D643A3" w:rsidRPr="00A12B5C">
        <w:t>veći</w:t>
      </w:r>
      <w:r w:rsidRPr="00A12B5C">
        <w:t xml:space="preserve"> su za </w:t>
      </w:r>
      <w:r w:rsidR="00D643A3" w:rsidRPr="00A12B5C">
        <w:t>1.</w:t>
      </w:r>
      <w:r w:rsidR="004E75F4">
        <w:t>730</w:t>
      </w:r>
      <w:r w:rsidR="00D643A3" w:rsidRPr="00A12B5C">
        <w:t>.</w:t>
      </w:r>
      <w:r w:rsidR="004E75F4">
        <w:t>465</w:t>
      </w:r>
      <w:r w:rsidRPr="00A12B5C">
        <w:t xml:space="preserve"> KM</w:t>
      </w:r>
      <w:r w:rsidR="00741F39" w:rsidRPr="00A12B5C">
        <w:t>,</w:t>
      </w:r>
      <w:r w:rsidRPr="00A12B5C">
        <w:t xml:space="preserve"> odnosno </w:t>
      </w:r>
      <w:r w:rsidR="00D643A3" w:rsidRPr="00A12B5C">
        <w:t>4,</w:t>
      </w:r>
      <w:r w:rsidR="004E75F4">
        <w:t>76</w:t>
      </w:r>
      <w:r w:rsidRPr="00A12B5C">
        <w:t xml:space="preserve">% </w:t>
      </w:r>
      <w:r w:rsidR="00D643A3" w:rsidRPr="00A12B5C">
        <w:t>veći</w:t>
      </w:r>
      <w:r w:rsidRPr="00A12B5C">
        <w:t>.</w:t>
      </w:r>
    </w:p>
    <w:p w:rsidR="009554E4" w:rsidRPr="00A12B5C" w:rsidRDefault="009554E4" w:rsidP="009554E4">
      <w:pPr>
        <w:pStyle w:val="Uvuenotijeloteksta"/>
        <w:spacing w:line="240" w:lineRule="auto"/>
        <w:ind w:firstLine="0"/>
      </w:pPr>
    </w:p>
    <w:p w:rsidR="009554E4" w:rsidRPr="00A12B5C" w:rsidRDefault="009554E4" w:rsidP="009554E4">
      <w:pPr>
        <w:pStyle w:val="Uvuenotijeloteksta"/>
        <w:spacing w:line="240" w:lineRule="auto"/>
        <w:ind w:firstLine="0"/>
      </w:pPr>
      <w:r w:rsidRPr="00A12B5C">
        <w:t>Slijedi tablični i grafički prikaz učešća pojedine kategorije poreznih prihoda u ukupno ostvarenim poreznim prihodima u 201</w:t>
      </w:r>
      <w:r w:rsidR="004E75F4">
        <w:t>9</w:t>
      </w:r>
      <w:r w:rsidRPr="00A12B5C">
        <w:t>. godin</w:t>
      </w:r>
      <w:r w:rsidR="009D6123" w:rsidRPr="00A12B5C">
        <w:t>i</w:t>
      </w:r>
      <w:r w:rsidRPr="00A12B5C">
        <w:t>.</w:t>
      </w:r>
    </w:p>
    <w:p w:rsidR="001F51A8" w:rsidRPr="00A12B5C" w:rsidRDefault="001F51A8" w:rsidP="009554E4">
      <w:pPr>
        <w:pStyle w:val="Uvuenotijeloteksta"/>
        <w:spacing w:line="240" w:lineRule="auto"/>
        <w:ind w:firstLine="0"/>
      </w:pPr>
    </w:p>
    <w:p w:rsidR="009554E4" w:rsidRPr="00A12B5C" w:rsidRDefault="009554E4" w:rsidP="009554E4">
      <w:pPr>
        <w:jc w:val="both"/>
        <w:rPr>
          <w:sz w:val="20"/>
          <w:szCs w:val="20"/>
        </w:rPr>
      </w:pPr>
      <w:r w:rsidRPr="00A12B5C">
        <w:rPr>
          <w:sz w:val="20"/>
          <w:szCs w:val="20"/>
        </w:rPr>
        <w:t xml:space="preserve">Tablica 2. Struktura ostvarenih poreznih prihoda Proračuna </w:t>
      </w:r>
      <w:proofErr w:type="spellStart"/>
      <w:r w:rsidRPr="00A12B5C">
        <w:rPr>
          <w:sz w:val="20"/>
          <w:szCs w:val="20"/>
        </w:rPr>
        <w:t>Žup.Posavske</w:t>
      </w:r>
      <w:proofErr w:type="spellEnd"/>
      <w:r w:rsidRPr="00A12B5C">
        <w:rPr>
          <w:sz w:val="20"/>
          <w:szCs w:val="20"/>
        </w:rPr>
        <w:t xml:space="preserve"> u 201</w:t>
      </w:r>
      <w:r w:rsidR="004E75F4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9554E4" w:rsidRPr="00A12B5C" w:rsidTr="0061256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9554E4" w:rsidRPr="00A12B5C" w:rsidRDefault="009554E4" w:rsidP="00612567">
            <w:pPr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9554E4" w:rsidRPr="00A12B5C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Ostvareno</w:t>
            </w:r>
          </w:p>
          <w:p w:rsidR="009554E4" w:rsidRPr="00A12B5C" w:rsidRDefault="009554E4" w:rsidP="004E75F4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201</w:t>
            </w:r>
            <w:r w:rsidR="004E75F4">
              <w:rPr>
                <w:b/>
                <w:sz w:val="22"/>
              </w:rPr>
              <w:t>9</w:t>
            </w:r>
            <w:r w:rsidRPr="00A12B5C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9554E4" w:rsidRPr="00A12B5C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 xml:space="preserve">% </w:t>
            </w:r>
          </w:p>
          <w:p w:rsidR="009554E4" w:rsidRPr="00A12B5C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učešća</w:t>
            </w:r>
          </w:p>
        </w:tc>
      </w:tr>
      <w:tr w:rsidR="009554E4" w:rsidRPr="00A12B5C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2B5C" w:rsidRDefault="009554E4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Porez na dobit pojedinaca i poduzeća</w:t>
            </w:r>
          </w:p>
        </w:tc>
        <w:tc>
          <w:tcPr>
            <w:tcW w:w="3260" w:type="dxa"/>
          </w:tcPr>
          <w:p w:rsidR="009554E4" w:rsidRPr="00A12B5C" w:rsidRDefault="004E75F4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3.243.729</w:t>
            </w:r>
          </w:p>
        </w:tc>
        <w:tc>
          <w:tcPr>
            <w:tcW w:w="1525" w:type="dxa"/>
          </w:tcPr>
          <w:p w:rsidR="009554E4" w:rsidRPr="00A12B5C" w:rsidRDefault="004E75F4" w:rsidP="005741C1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8,51</w:t>
            </w:r>
          </w:p>
        </w:tc>
      </w:tr>
      <w:tr w:rsidR="009554E4" w:rsidRPr="00A12B5C" w:rsidTr="00612567">
        <w:tc>
          <w:tcPr>
            <w:cnfStyle w:val="001000000000"/>
            <w:tcW w:w="4503" w:type="dxa"/>
          </w:tcPr>
          <w:p w:rsidR="009554E4" w:rsidRPr="00A12B5C" w:rsidRDefault="009554E4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Porez na plaću i radnu snagu</w:t>
            </w:r>
          </w:p>
        </w:tc>
        <w:tc>
          <w:tcPr>
            <w:tcW w:w="3260" w:type="dxa"/>
          </w:tcPr>
          <w:p w:rsidR="009554E4" w:rsidRPr="00A12B5C" w:rsidRDefault="004E75F4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2.107</w:t>
            </w:r>
          </w:p>
        </w:tc>
        <w:tc>
          <w:tcPr>
            <w:tcW w:w="1525" w:type="dxa"/>
          </w:tcPr>
          <w:p w:rsidR="009554E4" w:rsidRPr="00A12B5C" w:rsidRDefault="004E75F4" w:rsidP="00B809B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</w:tr>
      <w:tr w:rsidR="009554E4" w:rsidRPr="00A12B5C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2B5C" w:rsidRDefault="009554E4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Porez na imovinu</w:t>
            </w:r>
          </w:p>
        </w:tc>
        <w:tc>
          <w:tcPr>
            <w:tcW w:w="3260" w:type="dxa"/>
          </w:tcPr>
          <w:p w:rsidR="009554E4" w:rsidRPr="00A12B5C" w:rsidRDefault="004E75F4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311.681</w:t>
            </w:r>
          </w:p>
        </w:tc>
        <w:tc>
          <w:tcPr>
            <w:tcW w:w="1525" w:type="dxa"/>
          </w:tcPr>
          <w:p w:rsidR="009554E4" w:rsidRPr="00A12B5C" w:rsidRDefault="004E75F4" w:rsidP="004E75F4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0,81</w:t>
            </w:r>
          </w:p>
        </w:tc>
      </w:tr>
      <w:tr w:rsidR="009554E4" w:rsidRPr="00A12B5C" w:rsidTr="00612567">
        <w:tc>
          <w:tcPr>
            <w:cnfStyle w:val="001000000000"/>
            <w:tcW w:w="4503" w:type="dxa"/>
          </w:tcPr>
          <w:p w:rsidR="009554E4" w:rsidRPr="00A12B5C" w:rsidRDefault="009554E4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Domaći porezi na dobra i usluge</w:t>
            </w:r>
          </w:p>
        </w:tc>
        <w:tc>
          <w:tcPr>
            <w:tcW w:w="3260" w:type="dxa"/>
          </w:tcPr>
          <w:p w:rsidR="009554E4" w:rsidRPr="00A12B5C" w:rsidRDefault="004E75F4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1.967</w:t>
            </w:r>
          </w:p>
        </w:tc>
        <w:tc>
          <w:tcPr>
            <w:tcW w:w="1525" w:type="dxa"/>
          </w:tcPr>
          <w:p w:rsidR="009554E4" w:rsidRPr="00A12B5C" w:rsidRDefault="004E75F4" w:rsidP="0061256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</w:tr>
      <w:tr w:rsidR="009554E4" w:rsidRPr="00A12B5C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2B5C" w:rsidRDefault="009554E4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Porez na dohodak</w:t>
            </w:r>
          </w:p>
        </w:tc>
        <w:tc>
          <w:tcPr>
            <w:tcW w:w="3260" w:type="dxa"/>
          </w:tcPr>
          <w:p w:rsidR="009554E4" w:rsidRPr="00A12B5C" w:rsidRDefault="004E75F4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3.109.449</w:t>
            </w:r>
          </w:p>
        </w:tc>
        <w:tc>
          <w:tcPr>
            <w:tcW w:w="1525" w:type="dxa"/>
          </w:tcPr>
          <w:p w:rsidR="009554E4" w:rsidRPr="00A12B5C" w:rsidRDefault="004E75F4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8,16</w:t>
            </w:r>
          </w:p>
        </w:tc>
      </w:tr>
      <w:tr w:rsidR="009554E4" w:rsidRPr="00A12B5C" w:rsidTr="00612567">
        <w:tc>
          <w:tcPr>
            <w:cnfStyle w:val="001000000000"/>
            <w:tcW w:w="4503" w:type="dxa"/>
          </w:tcPr>
          <w:p w:rsidR="009554E4" w:rsidRPr="00A12B5C" w:rsidRDefault="009554E4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Prihodi od neizravnih poreza</w:t>
            </w:r>
          </w:p>
        </w:tc>
        <w:tc>
          <w:tcPr>
            <w:tcW w:w="3260" w:type="dxa"/>
          </w:tcPr>
          <w:p w:rsidR="009554E4" w:rsidRPr="00A12B5C" w:rsidRDefault="004E75F4" w:rsidP="00DD1072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31.432.346</w:t>
            </w:r>
          </w:p>
        </w:tc>
        <w:tc>
          <w:tcPr>
            <w:tcW w:w="1525" w:type="dxa"/>
          </w:tcPr>
          <w:p w:rsidR="009554E4" w:rsidRPr="00A12B5C" w:rsidRDefault="004E75F4" w:rsidP="00625C50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82,50</w:t>
            </w:r>
          </w:p>
        </w:tc>
      </w:tr>
      <w:tr w:rsidR="009554E4" w:rsidRPr="00A12B5C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2B5C" w:rsidRDefault="009554E4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Ostali porezi</w:t>
            </w:r>
          </w:p>
        </w:tc>
        <w:tc>
          <w:tcPr>
            <w:tcW w:w="3260" w:type="dxa"/>
          </w:tcPr>
          <w:p w:rsidR="009554E4" w:rsidRPr="00A12B5C" w:rsidRDefault="004E75F4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525" w:type="dxa"/>
          </w:tcPr>
          <w:p w:rsidR="009554E4" w:rsidRPr="00A12B5C" w:rsidRDefault="004E75F4" w:rsidP="0020339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554E4" w:rsidRPr="00A12B5C" w:rsidTr="00612567">
        <w:tc>
          <w:tcPr>
            <w:cnfStyle w:val="001000000000"/>
            <w:tcW w:w="4503" w:type="dxa"/>
          </w:tcPr>
          <w:p w:rsidR="009554E4" w:rsidRPr="00A12B5C" w:rsidRDefault="009554E4" w:rsidP="00612567">
            <w:pPr>
              <w:jc w:val="both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9554E4" w:rsidRPr="00A12B5C" w:rsidRDefault="00F2547B" w:rsidP="00DD1072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4E75F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4E75F4">
              <w:rPr>
                <w:b/>
                <w:noProof/>
                <w:sz w:val="22"/>
              </w:rPr>
              <w:t>38.101.400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9554E4" w:rsidRPr="00A12B5C" w:rsidRDefault="00F2547B" w:rsidP="00D10B85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4E75F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4E75F4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4E75F4">
              <w:rPr>
                <w:b/>
                <w:sz w:val="22"/>
              </w:rPr>
              <w:t>,00</w:t>
            </w:r>
          </w:p>
        </w:tc>
      </w:tr>
    </w:tbl>
    <w:p w:rsidR="009554E4" w:rsidRPr="00A12B5C" w:rsidRDefault="009554E4" w:rsidP="009554E4">
      <w:pPr>
        <w:pStyle w:val="Uvuenotijeloteksta"/>
        <w:spacing w:line="240" w:lineRule="auto"/>
        <w:ind w:firstLine="0"/>
        <w:jc w:val="center"/>
      </w:pPr>
      <w:r w:rsidRPr="00A12B5C">
        <w:rPr>
          <w:noProof/>
          <w:lang w:eastAsia="hr-HR"/>
        </w:rPr>
        <w:drawing>
          <wp:inline distT="0" distB="0" distL="0" distR="0">
            <wp:extent cx="4864100" cy="2247900"/>
            <wp:effectExtent l="1905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54E4" w:rsidRPr="00A12B5C" w:rsidRDefault="009554E4" w:rsidP="009554E4">
      <w:pPr>
        <w:jc w:val="center"/>
        <w:rPr>
          <w:sz w:val="20"/>
          <w:szCs w:val="20"/>
        </w:rPr>
      </w:pPr>
      <w:r w:rsidRPr="00A12B5C">
        <w:rPr>
          <w:sz w:val="20"/>
          <w:szCs w:val="20"/>
        </w:rPr>
        <w:t>Graf 3. Struktura ostvarenih poreznih prihoda Proračuna Županije Posavske u 201</w:t>
      </w:r>
      <w:r w:rsidR="004E75F4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p w:rsidR="009554E4" w:rsidRPr="00212735" w:rsidRDefault="009554E4" w:rsidP="009554E4">
      <w:pPr>
        <w:pStyle w:val="Uvuenotijeloteksta"/>
        <w:spacing w:line="240" w:lineRule="auto"/>
        <w:ind w:firstLine="0"/>
        <w:jc w:val="center"/>
        <w:rPr>
          <w:sz w:val="16"/>
          <w:szCs w:val="16"/>
        </w:rPr>
      </w:pPr>
    </w:p>
    <w:p w:rsidR="009554E4" w:rsidRPr="00A12B5C" w:rsidRDefault="009554E4" w:rsidP="009554E4">
      <w:pPr>
        <w:pStyle w:val="Uvuenotijeloteksta"/>
        <w:spacing w:line="240" w:lineRule="auto"/>
        <w:ind w:firstLine="0"/>
      </w:pPr>
      <w:r w:rsidRPr="00A12B5C">
        <w:rPr>
          <w:b/>
        </w:rPr>
        <w:t>Prihodi po osnovi poreza na dobit pojedinaca i poreza na dobit poduzeća (potkategorija 711000)</w:t>
      </w:r>
      <w:r w:rsidRPr="00A12B5C">
        <w:t xml:space="preserve"> ostvareni su u ukupnom iznosu od </w:t>
      </w:r>
      <w:r w:rsidR="004E75F4">
        <w:t>3.243.729</w:t>
      </w:r>
      <w:r w:rsidRPr="00A12B5C">
        <w:t xml:space="preserve"> KM</w:t>
      </w:r>
      <w:r w:rsidR="00B809BD" w:rsidRPr="00A12B5C">
        <w:t>,</w:t>
      </w:r>
      <w:r w:rsidRPr="00A12B5C">
        <w:t xml:space="preserve"> odnosno </w:t>
      </w:r>
      <w:r w:rsidR="004E75F4">
        <w:t>105,94</w:t>
      </w:r>
      <w:r w:rsidRPr="00A12B5C">
        <w:t xml:space="preserve">% u odnosu na </w:t>
      </w:r>
      <w:r w:rsidR="00BE2B97" w:rsidRPr="00A12B5C">
        <w:t xml:space="preserve">ukupno </w:t>
      </w:r>
      <w:r w:rsidRPr="00A12B5C">
        <w:t>planirane prihode</w:t>
      </w:r>
      <w:r w:rsidR="00BE2B97" w:rsidRPr="00A12B5C">
        <w:t xml:space="preserve"> po ovoj osnovi</w:t>
      </w:r>
      <w:r w:rsidRPr="00A12B5C">
        <w:t xml:space="preserve">. U samoj strukturi ostvarenih prihoda po osnovi poreza na dobit najznačajnije ostvarenje je zabilježeno od prihoda po osnovi poreza na dobit poduzeća (analitički konto 711211) u visini od </w:t>
      </w:r>
      <w:r w:rsidR="004E75F4">
        <w:t>3.167.780</w:t>
      </w:r>
      <w:r w:rsidRPr="00A12B5C">
        <w:t xml:space="preserve"> KM</w:t>
      </w:r>
      <w:r w:rsidR="00B809BD" w:rsidRPr="00A12B5C">
        <w:t>,</w:t>
      </w:r>
      <w:r w:rsidRPr="00A12B5C">
        <w:t xml:space="preserve"> što iznosi </w:t>
      </w:r>
      <w:r w:rsidR="004E75F4">
        <w:t>97,66</w:t>
      </w:r>
      <w:r w:rsidRPr="00A12B5C">
        <w:t>% ukupno ostvarenog prihoda po ovoj osnovi.</w:t>
      </w:r>
      <w:r w:rsidR="000C0187" w:rsidRPr="00A12B5C">
        <w:t xml:space="preserve"> Porez po odbitku (analitički konto 711212) ostvaren je u iznosu od </w:t>
      </w:r>
      <w:r w:rsidR="004E75F4">
        <w:t>73.255</w:t>
      </w:r>
      <w:r w:rsidR="000C0187" w:rsidRPr="00A12B5C">
        <w:t xml:space="preserve"> KM, dok ostatak čine porezi na dobit pojedinaca (zaostale uplate poreza).</w:t>
      </w:r>
      <w:r w:rsidR="00E67ABA" w:rsidRPr="00A12B5C">
        <w:t xml:space="preserve"> U odnosu na ostvarene prihode po osnovi poreza na dobit u 201</w:t>
      </w:r>
      <w:r w:rsidR="004E75F4">
        <w:t>8</w:t>
      </w:r>
      <w:r w:rsidR="00E67ABA" w:rsidRPr="00A12B5C">
        <w:t xml:space="preserve">. godini zabilježeno je </w:t>
      </w:r>
      <w:r w:rsidR="000F440B" w:rsidRPr="00A12B5C">
        <w:t>smanjenje</w:t>
      </w:r>
      <w:r w:rsidR="00E67ABA" w:rsidRPr="00A12B5C">
        <w:t xml:space="preserve"> u apsolutnom iznosu od </w:t>
      </w:r>
      <w:r w:rsidR="004E75F4">
        <w:t>177.374</w:t>
      </w:r>
      <w:r w:rsidR="00E67ABA" w:rsidRPr="00A12B5C">
        <w:t xml:space="preserve"> KM ili </w:t>
      </w:r>
      <w:r w:rsidR="000F440B" w:rsidRPr="00A12B5C">
        <w:t>smanjenje</w:t>
      </w:r>
      <w:r w:rsidR="00E67ABA" w:rsidRPr="00A12B5C">
        <w:t xml:space="preserve"> za </w:t>
      </w:r>
      <w:r w:rsidR="004E75F4">
        <w:t>5,18</w:t>
      </w:r>
      <w:r w:rsidR="00E67ABA" w:rsidRPr="00A12B5C">
        <w:t>%.</w:t>
      </w:r>
    </w:p>
    <w:p w:rsidR="009554E4" w:rsidRPr="00A12B5C" w:rsidRDefault="009554E4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A12B5C">
        <w:rPr>
          <w:b/>
        </w:rPr>
        <w:t>Prihodi po osnovi poreza na plaću i radnu snagu (potkategorija 713000)</w:t>
      </w:r>
      <w:r w:rsidRPr="00A12B5C">
        <w:t xml:space="preserve"> ostvareni su u iznosu od </w:t>
      </w:r>
      <w:r w:rsidR="004E75F4">
        <w:t>2.107</w:t>
      </w:r>
      <w:r w:rsidRPr="00A12B5C">
        <w:t xml:space="preserve"> KM na temelju neizmirenih obveza iz prethodnih godina budući je od 01.01.2009. godine na snazi Zakon o porezu na dohodak («Službene novine Federacije BiH» broj 10/08). U odnosu na ukupno planirano Proračunom za 201</w:t>
      </w:r>
      <w:r w:rsidR="004E75F4">
        <w:t>9</w:t>
      </w:r>
      <w:r w:rsidRPr="00A12B5C">
        <w:t xml:space="preserve">. godinu </w:t>
      </w:r>
      <w:r w:rsidR="00BE2B97" w:rsidRPr="00A12B5C">
        <w:t xml:space="preserve">po osnovi poreza na plaću i radnu snagu </w:t>
      </w:r>
      <w:r w:rsidR="008202B3" w:rsidRPr="00A12B5C">
        <w:t xml:space="preserve">ovih prihoda je </w:t>
      </w:r>
      <w:r w:rsidRPr="00A12B5C">
        <w:t>ostvareno u</w:t>
      </w:r>
      <w:r w:rsidR="00BE2B97" w:rsidRPr="00A12B5C">
        <w:t xml:space="preserve"> </w:t>
      </w:r>
      <w:r w:rsidR="00207898" w:rsidRPr="00A12B5C">
        <w:t xml:space="preserve">apsolutnom iznosu </w:t>
      </w:r>
      <w:r w:rsidR="00E67ABA" w:rsidRPr="00A12B5C">
        <w:t>manje</w:t>
      </w:r>
      <w:r w:rsidR="000C1868" w:rsidRPr="00A12B5C">
        <w:t xml:space="preserve"> </w:t>
      </w:r>
      <w:r w:rsidR="00207898" w:rsidRPr="00A12B5C">
        <w:t xml:space="preserve">za </w:t>
      </w:r>
      <w:r w:rsidR="004E75F4">
        <w:t xml:space="preserve">483 </w:t>
      </w:r>
      <w:r w:rsidR="00203398" w:rsidRPr="00A12B5C">
        <w:t>KM</w:t>
      </w:r>
      <w:r w:rsidR="00E67ABA" w:rsidRPr="00A12B5C">
        <w:t xml:space="preserve"> ili </w:t>
      </w:r>
      <w:r w:rsidR="004E75F4">
        <w:t>18,65</w:t>
      </w:r>
      <w:r w:rsidR="00E67ABA" w:rsidRPr="00A12B5C">
        <w:t>% manje</w:t>
      </w:r>
      <w:r w:rsidRPr="00A12B5C">
        <w:t>.</w:t>
      </w:r>
      <w:r w:rsidR="00E67ABA" w:rsidRPr="00A12B5C">
        <w:t xml:space="preserve"> U odnosu na prethodnu fiskalnu godinu ostvarenje ovih prihoda je </w:t>
      </w:r>
      <w:r w:rsidR="004E75F4">
        <w:t>manje</w:t>
      </w:r>
      <w:r w:rsidR="00E67ABA" w:rsidRPr="00A12B5C">
        <w:t xml:space="preserve"> za </w:t>
      </w:r>
      <w:r w:rsidR="004E75F4">
        <w:t>4.282</w:t>
      </w:r>
      <w:r w:rsidR="00E67ABA" w:rsidRPr="00A12B5C">
        <w:t xml:space="preserve"> KM</w:t>
      </w:r>
      <w:r w:rsidR="00967F2A" w:rsidRPr="00A12B5C">
        <w:t>.</w:t>
      </w:r>
    </w:p>
    <w:p w:rsidR="00212735" w:rsidRPr="00A12B5C" w:rsidRDefault="00212735" w:rsidP="009554E4">
      <w:pPr>
        <w:pStyle w:val="Uvuenotijeloteksta"/>
        <w:spacing w:line="240" w:lineRule="auto"/>
        <w:ind w:firstLine="0"/>
      </w:pPr>
    </w:p>
    <w:p w:rsidR="009554E4" w:rsidRPr="00A12B5C" w:rsidRDefault="009554E4" w:rsidP="009554E4">
      <w:pPr>
        <w:pStyle w:val="Uvuenotijeloteksta"/>
        <w:spacing w:line="240" w:lineRule="auto"/>
        <w:ind w:firstLine="0"/>
      </w:pPr>
      <w:r w:rsidRPr="00E446B6">
        <w:rPr>
          <w:b/>
        </w:rPr>
        <w:t>Porez na imovinu (potkategorija 714000)</w:t>
      </w:r>
      <w:r w:rsidRPr="00E446B6">
        <w:t xml:space="preserve"> ostvaren je u iznosu od </w:t>
      </w:r>
      <w:r w:rsidR="00E446B6">
        <w:t>311.681</w:t>
      </w:r>
      <w:r w:rsidRPr="00E446B6">
        <w:t xml:space="preserve"> KM, odnosno</w:t>
      </w:r>
      <w:r w:rsidRPr="00A12B5C">
        <w:t xml:space="preserve"> </w:t>
      </w:r>
      <w:r w:rsidR="00E446B6">
        <w:t>103,40</w:t>
      </w:r>
      <w:r w:rsidRPr="00A12B5C">
        <w:t>% prihoda planiranih po ovoj osnovi u 201</w:t>
      </w:r>
      <w:r w:rsidR="00E446B6">
        <w:t>9</w:t>
      </w:r>
      <w:r w:rsidRPr="00A12B5C">
        <w:t xml:space="preserve">. godini. U strukturi prihoda od poreza na </w:t>
      </w:r>
      <w:r w:rsidRPr="00A12B5C">
        <w:lastRenderedPageBreak/>
        <w:t xml:space="preserve">imovinu najveće učešće ima </w:t>
      </w:r>
      <w:r w:rsidR="00BE7523" w:rsidRPr="00A12B5C">
        <w:t xml:space="preserve">porez na promet nepokretnosti fizičkih osoba (analitički konto 714131) u visini od </w:t>
      </w:r>
      <w:r w:rsidR="00E446B6">
        <w:t>167.949</w:t>
      </w:r>
      <w:r w:rsidR="00BE7523" w:rsidRPr="00A12B5C">
        <w:t xml:space="preserve"> KM, </w:t>
      </w:r>
      <w:r w:rsidRPr="00A12B5C">
        <w:t xml:space="preserve">porez na promet nepokretnosti </w:t>
      </w:r>
      <w:r w:rsidR="000C0187" w:rsidRPr="00A12B5C">
        <w:t>pravnih</w:t>
      </w:r>
      <w:r w:rsidRPr="00A12B5C">
        <w:t xml:space="preserve"> osoba (analitički konto 71413</w:t>
      </w:r>
      <w:r w:rsidR="000C0187" w:rsidRPr="00A12B5C">
        <w:t>2</w:t>
      </w:r>
      <w:r w:rsidRPr="00A12B5C">
        <w:t xml:space="preserve">) u iznosu od </w:t>
      </w:r>
      <w:r w:rsidR="00E446B6">
        <w:t>82.547</w:t>
      </w:r>
      <w:r w:rsidRPr="00A12B5C">
        <w:t xml:space="preserve"> KM, </w:t>
      </w:r>
      <w:r w:rsidR="000C0187" w:rsidRPr="00A12B5C">
        <w:t xml:space="preserve">te </w:t>
      </w:r>
      <w:r w:rsidR="007E6526" w:rsidRPr="00A12B5C">
        <w:t xml:space="preserve">porez na imovinu od fizičkih osoba (analitički konto 714111) u visini od </w:t>
      </w:r>
      <w:r w:rsidR="00E446B6">
        <w:t>37.649</w:t>
      </w:r>
      <w:r w:rsidR="007E6526" w:rsidRPr="00A12B5C">
        <w:t xml:space="preserve"> KM</w:t>
      </w:r>
      <w:r w:rsidRPr="00A12B5C">
        <w:t>. Naved</w:t>
      </w:r>
      <w:r w:rsidR="00BE2B97" w:rsidRPr="00A12B5C">
        <w:t xml:space="preserve">ene tri vrste prihoda čine </w:t>
      </w:r>
      <w:r w:rsidR="00E446B6">
        <w:t>92,45</w:t>
      </w:r>
      <w:r w:rsidRPr="00A12B5C">
        <w:t xml:space="preserve">% ukupno ostvarenih prihoda po osnovi poreza na imovinu. </w:t>
      </w:r>
      <w:r w:rsidR="000C0187" w:rsidRPr="00A12B5C">
        <w:t>Ostatak prihoda odnosi se na prihode od poreza na imovinu pravnih osoba</w:t>
      </w:r>
      <w:r w:rsidR="008D2555" w:rsidRPr="00A12B5C">
        <w:t>,</w:t>
      </w:r>
      <w:r w:rsidR="000C0187" w:rsidRPr="00A12B5C">
        <w:t xml:space="preserve"> prihode od poreza na naslijeđe i darove</w:t>
      </w:r>
      <w:r w:rsidR="008D2555" w:rsidRPr="00A12B5C">
        <w:t xml:space="preserve"> te prihode od poreza na imovinu za motorna vozila</w:t>
      </w:r>
      <w:r w:rsidR="000C0187" w:rsidRPr="00A12B5C">
        <w:t xml:space="preserve">. </w:t>
      </w:r>
      <w:r w:rsidRPr="00A12B5C">
        <w:t xml:space="preserve">U odnosu na </w:t>
      </w:r>
      <w:r w:rsidR="002E59A8" w:rsidRPr="00A12B5C">
        <w:t>fiskalnu</w:t>
      </w:r>
      <w:r w:rsidRPr="00A12B5C">
        <w:t xml:space="preserve"> 201</w:t>
      </w:r>
      <w:r w:rsidR="00E446B6">
        <w:t>8</w:t>
      </w:r>
      <w:r w:rsidRPr="00A12B5C">
        <w:t>. godin</w:t>
      </w:r>
      <w:r w:rsidR="002E59A8" w:rsidRPr="00A12B5C">
        <w:t>u</w:t>
      </w:r>
      <w:r w:rsidRPr="00A12B5C">
        <w:t xml:space="preserve"> ovih prihoda je ostvareno </w:t>
      </w:r>
      <w:r w:rsidR="00E446B6">
        <w:t>24,87</w:t>
      </w:r>
      <w:r w:rsidRPr="00A12B5C">
        <w:t xml:space="preserve">% </w:t>
      </w:r>
      <w:r w:rsidR="00E446B6">
        <w:t>više</w:t>
      </w:r>
      <w:r w:rsidR="00203398" w:rsidRPr="00A12B5C">
        <w:t>,</w:t>
      </w:r>
      <w:r w:rsidRPr="00A12B5C">
        <w:t xml:space="preserve"> odnosno u apsolutnom iznosu </w:t>
      </w:r>
      <w:r w:rsidR="00E446B6">
        <w:t>62.078</w:t>
      </w:r>
      <w:r w:rsidRPr="00A12B5C">
        <w:t xml:space="preserve"> KM </w:t>
      </w:r>
      <w:r w:rsidR="00E446B6">
        <w:t>više</w:t>
      </w:r>
      <w:r w:rsidRPr="00A12B5C">
        <w:t>.</w:t>
      </w:r>
      <w:r w:rsidR="00187D58" w:rsidRPr="00A12B5C">
        <w:t xml:space="preserve"> </w:t>
      </w:r>
    </w:p>
    <w:p w:rsidR="009554E4" w:rsidRPr="00212735" w:rsidRDefault="009554E4" w:rsidP="009554E4">
      <w:pPr>
        <w:pStyle w:val="Uvuenotijeloteksta"/>
        <w:spacing w:line="240" w:lineRule="auto"/>
        <w:rPr>
          <w:sz w:val="16"/>
          <w:szCs w:val="16"/>
        </w:rPr>
      </w:pPr>
    </w:p>
    <w:p w:rsidR="009554E4" w:rsidRPr="00A12B5C" w:rsidRDefault="009554E4" w:rsidP="009554E4">
      <w:pPr>
        <w:pStyle w:val="Uvuenotijeloteksta"/>
        <w:spacing w:line="240" w:lineRule="auto"/>
        <w:ind w:firstLine="0"/>
      </w:pPr>
      <w:r w:rsidRPr="00A12B5C">
        <w:t xml:space="preserve">Na ime </w:t>
      </w:r>
      <w:r w:rsidRPr="00A12B5C">
        <w:rPr>
          <w:b/>
        </w:rPr>
        <w:t>prihoda po osnovi domaćih poreza na dobra i usluge (potkategorija 715000)</w:t>
      </w:r>
      <w:r w:rsidRPr="00A12B5C">
        <w:t xml:space="preserve">, temeljem utvrđenih obveza iz ranijih godina, na depozitni račun Županije Posavske uplaćeno je u </w:t>
      </w:r>
      <w:r w:rsidR="00740FD3" w:rsidRPr="00A12B5C">
        <w:t>fiskaln</w:t>
      </w:r>
      <w:r w:rsidR="002E59A8" w:rsidRPr="00A12B5C">
        <w:t>oj</w:t>
      </w:r>
      <w:r w:rsidR="00740FD3" w:rsidRPr="00A12B5C">
        <w:t xml:space="preserve"> 201</w:t>
      </w:r>
      <w:r w:rsidR="00E446B6">
        <w:t>9</w:t>
      </w:r>
      <w:r w:rsidRPr="00A12B5C">
        <w:t>. godin</w:t>
      </w:r>
      <w:r w:rsidR="002E59A8" w:rsidRPr="00A12B5C">
        <w:t>i</w:t>
      </w:r>
      <w:r w:rsidRPr="00A12B5C">
        <w:t xml:space="preserve"> </w:t>
      </w:r>
      <w:r w:rsidR="00E446B6">
        <w:t>1.967</w:t>
      </w:r>
      <w:r w:rsidRPr="00A12B5C">
        <w:t xml:space="preserve"> KM</w:t>
      </w:r>
      <w:r w:rsidR="007E6526" w:rsidRPr="00A12B5C">
        <w:t>,</w:t>
      </w:r>
      <w:r w:rsidRPr="00A12B5C">
        <w:t xml:space="preserve"> što </w:t>
      </w:r>
      <w:r w:rsidR="008177B5" w:rsidRPr="00A12B5C">
        <w:t>iznosi</w:t>
      </w:r>
      <w:r w:rsidR="00187D58" w:rsidRPr="00A12B5C">
        <w:t xml:space="preserve"> </w:t>
      </w:r>
      <w:r w:rsidR="00E446B6">
        <w:t>93,67</w:t>
      </w:r>
      <w:r w:rsidR="00187D58" w:rsidRPr="00A12B5C">
        <w:t xml:space="preserve">% </w:t>
      </w:r>
      <w:r w:rsidRPr="00A12B5C">
        <w:t>ukupno planiranih prihoda po ovoj osnovi</w:t>
      </w:r>
      <w:r w:rsidR="00187D58" w:rsidRPr="00A12B5C">
        <w:t xml:space="preserve"> u 201</w:t>
      </w:r>
      <w:r w:rsidR="00E446B6">
        <w:t>9</w:t>
      </w:r>
      <w:r w:rsidR="00187D58" w:rsidRPr="00A12B5C">
        <w:t xml:space="preserve">. </w:t>
      </w:r>
      <w:r w:rsidR="002E59A8" w:rsidRPr="00A12B5C">
        <w:t>godini</w:t>
      </w:r>
      <w:r w:rsidR="00E446B6">
        <w:t>,</w:t>
      </w:r>
      <w:r w:rsidR="002E59A8" w:rsidRPr="00A12B5C">
        <w:t xml:space="preserve"> ili </w:t>
      </w:r>
      <w:r w:rsidR="008177B5" w:rsidRPr="00A12B5C">
        <w:t xml:space="preserve">u apsolutnom iznosu </w:t>
      </w:r>
      <w:r w:rsidR="00E446B6">
        <w:t>133</w:t>
      </w:r>
      <w:r w:rsidR="008177B5" w:rsidRPr="00A12B5C">
        <w:t xml:space="preserve"> KM</w:t>
      </w:r>
      <w:r w:rsidR="002E59A8" w:rsidRPr="00A12B5C">
        <w:t xml:space="preserve"> </w:t>
      </w:r>
      <w:r w:rsidR="00967F2A" w:rsidRPr="00A12B5C">
        <w:t>manje</w:t>
      </w:r>
      <w:r w:rsidR="00E67ABA" w:rsidRPr="00A12B5C">
        <w:t xml:space="preserve"> od planiranog</w:t>
      </w:r>
      <w:r w:rsidR="008177B5" w:rsidRPr="00A12B5C">
        <w:t xml:space="preserve">. </w:t>
      </w:r>
      <w:r w:rsidR="00187D58" w:rsidRPr="00A12B5C">
        <w:t>Obzirom da se ovdje radi o zaostalim obvezama na temelju poreza na promet dobara i usluga ne postoji egzaktan mehanizam njihovog realnog planiranja. Naime iz godine u godinu se očekuje postupno smanjivanje prihoda po osnovi domaćih poreza na dobra i usluge sv</w:t>
      </w:r>
      <w:r w:rsidR="00E446B6">
        <w:t>e do njihovog potpunog ukidanja.</w:t>
      </w:r>
      <w:r w:rsidR="00187D58" w:rsidRPr="00A12B5C">
        <w:t xml:space="preserve"> </w:t>
      </w:r>
      <w:r w:rsidR="00E446B6">
        <w:t>U</w:t>
      </w:r>
      <w:r w:rsidR="008177B5" w:rsidRPr="00A12B5C">
        <w:t xml:space="preserve"> istom razdoblju 201</w:t>
      </w:r>
      <w:r w:rsidR="00E446B6">
        <w:t>8</w:t>
      </w:r>
      <w:r w:rsidR="008177B5" w:rsidRPr="00A12B5C">
        <w:t>. godine izvršenje ovih prihoda</w:t>
      </w:r>
      <w:r w:rsidR="00967F2A" w:rsidRPr="00A12B5C">
        <w:t xml:space="preserve"> je</w:t>
      </w:r>
      <w:r w:rsidR="008177B5" w:rsidRPr="00A12B5C">
        <w:t xml:space="preserve"> bilo </w:t>
      </w:r>
      <w:r w:rsidR="00E446B6">
        <w:t>veće</w:t>
      </w:r>
      <w:r w:rsidR="00967F2A" w:rsidRPr="00A12B5C">
        <w:t xml:space="preserve"> nego ovogodišnje za 1.</w:t>
      </w:r>
      <w:r w:rsidR="00E446B6">
        <w:t>749</w:t>
      </w:r>
      <w:r w:rsidR="00967F2A" w:rsidRPr="00A12B5C">
        <w:t xml:space="preserve"> KM, odnosno </w:t>
      </w:r>
      <w:r w:rsidR="00E446B6">
        <w:t>47,07</w:t>
      </w:r>
      <w:r w:rsidR="00967F2A" w:rsidRPr="00A12B5C">
        <w:t xml:space="preserve">% </w:t>
      </w:r>
      <w:r w:rsidR="00E446B6">
        <w:t>veće</w:t>
      </w:r>
      <w:r w:rsidR="008177B5" w:rsidRPr="00A12B5C">
        <w:t>.</w:t>
      </w:r>
    </w:p>
    <w:p w:rsidR="009554E4" w:rsidRPr="00212735" w:rsidRDefault="009554E4" w:rsidP="009554E4">
      <w:pPr>
        <w:pStyle w:val="Uvuenotijeloteksta"/>
        <w:spacing w:line="240" w:lineRule="auto"/>
        <w:rPr>
          <w:sz w:val="16"/>
          <w:szCs w:val="16"/>
        </w:rPr>
      </w:pPr>
    </w:p>
    <w:p w:rsidR="009554E4" w:rsidRPr="00A12B5C" w:rsidRDefault="009554E4" w:rsidP="009554E4">
      <w:pPr>
        <w:pStyle w:val="Uvuenotijeloteksta"/>
        <w:spacing w:line="240" w:lineRule="auto"/>
        <w:ind w:firstLine="0"/>
      </w:pPr>
      <w:r w:rsidRPr="00A12B5C">
        <w:rPr>
          <w:b/>
        </w:rPr>
        <w:t>Prihodi po osnovi poreza na dohodak (potkategorija 716000)</w:t>
      </w:r>
      <w:r w:rsidRPr="00A12B5C">
        <w:t xml:space="preserve"> ostvareni su u iznosu od </w:t>
      </w:r>
      <w:r w:rsidR="00E446B6">
        <w:t>3.109.449</w:t>
      </w:r>
      <w:r w:rsidRPr="00A12B5C">
        <w:t xml:space="preserve"> KM</w:t>
      </w:r>
      <w:r w:rsidR="007E6526" w:rsidRPr="00A12B5C">
        <w:t>,</w:t>
      </w:r>
      <w:r w:rsidRPr="00A12B5C">
        <w:t xml:space="preserve"> odnosno </w:t>
      </w:r>
      <w:r w:rsidR="00E446B6">
        <w:t>100,77</w:t>
      </w:r>
      <w:r w:rsidRPr="00A12B5C">
        <w:t>% u odnosu na planirane prihode</w:t>
      </w:r>
      <w:r w:rsidR="00E446B6">
        <w:t>,</w:t>
      </w:r>
      <w:r w:rsidR="002E59A8" w:rsidRPr="00A12B5C">
        <w:t xml:space="preserve"> ili u apsolutnom iznosu </w:t>
      </w:r>
      <w:r w:rsidR="00E446B6">
        <w:t>23.779</w:t>
      </w:r>
      <w:r w:rsidR="002E59A8" w:rsidRPr="00A12B5C">
        <w:t xml:space="preserve"> KM više</w:t>
      </w:r>
      <w:r w:rsidR="009409AE" w:rsidRPr="00A12B5C">
        <w:t xml:space="preserve"> od planiranog</w:t>
      </w:r>
      <w:r w:rsidR="002E59A8" w:rsidRPr="00A12B5C">
        <w:t>.</w:t>
      </w:r>
      <w:r w:rsidRPr="00A12B5C">
        <w:t xml:space="preserve"> U strukturi prihoda od poreza na dohodak </w:t>
      </w:r>
      <w:r w:rsidR="009409AE" w:rsidRPr="00A12B5C">
        <w:t>u 201</w:t>
      </w:r>
      <w:r w:rsidR="00E446B6">
        <w:t>9</w:t>
      </w:r>
      <w:r w:rsidR="009409AE" w:rsidRPr="00A12B5C">
        <w:t xml:space="preserve">. godini </w:t>
      </w:r>
      <w:r w:rsidRPr="00A12B5C">
        <w:t xml:space="preserve">najveće učešće imaju prihodi od poreza na dohodak fizičkih osoba od nesamostalnih djelatnosti (analitički konto 716111) u visini od </w:t>
      </w:r>
      <w:r w:rsidR="00E446B6">
        <w:t>2.196.487</w:t>
      </w:r>
      <w:r w:rsidRPr="00A12B5C">
        <w:t xml:space="preserve"> KM ili </w:t>
      </w:r>
      <w:r w:rsidR="00E446B6">
        <w:t>70,64</w:t>
      </w:r>
      <w:r w:rsidRPr="00A12B5C">
        <w:t xml:space="preserve">% ukupno ostvarenih prihoda po </w:t>
      </w:r>
      <w:r w:rsidR="002E59A8" w:rsidRPr="00A12B5C">
        <w:t>osnovi poreza na dohodak</w:t>
      </w:r>
      <w:r w:rsidRPr="00A12B5C">
        <w:t xml:space="preserve">. </w:t>
      </w:r>
      <w:r w:rsidR="00A64280" w:rsidRPr="00A12B5C">
        <w:t xml:space="preserve">Značajan udio u iznosu ovih prihoda imaju i </w:t>
      </w:r>
      <w:r w:rsidR="00256C4B" w:rsidRPr="00A12B5C">
        <w:t xml:space="preserve">prihodi od poreza na dohodak fizičkih osoba </w:t>
      </w:r>
      <w:r w:rsidR="009409AE" w:rsidRPr="00A12B5C">
        <w:t>na dobitke od nagradnih igara i igara na sreću</w:t>
      </w:r>
      <w:r w:rsidR="00256C4B" w:rsidRPr="00A12B5C">
        <w:t xml:space="preserve"> (</w:t>
      </w:r>
      <w:r w:rsidR="00E446B6">
        <w:t>283.008</w:t>
      </w:r>
      <w:r w:rsidR="00256C4B" w:rsidRPr="00A12B5C">
        <w:t xml:space="preserve"> KM), </w:t>
      </w:r>
      <w:r w:rsidR="00A64280" w:rsidRPr="00A12B5C">
        <w:t>prihodi od poreza na dohodak od drugih samostalnih djelatnosti</w:t>
      </w:r>
      <w:r w:rsidR="002E59A8" w:rsidRPr="00A12B5C">
        <w:t xml:space="preserve"> (</w:t>
      </w:r>
      <w:r w:rsidR="00E446B6">
        <w:t>243.972</w:t>
      </w:r>
      <w:r w:rsidR="002E59A8" w:rsidRPr="00A12B5C">
        <w:t xml:space="preserve"> KM)</w:t>
      </w:r>
      <w:r w:rsidR="009409AE" w:rsidRPr="00A12B5C">
        <w:t xml:space="preserve">, </w:t>
      </w:r>
      <w:r w:rsidR="00967F2A" w:rsidRPr="00A12B5C">
        <w:t xml:space="preserve">prihodi od poreza na dohodak po konačnom obračunu (141.494 KM), i </w:t>
      </w:r>
      <w:r w:rsidR="009409AE" w:rsidRPr="00A12B5C">
        <w:t xml:space="preserve">prihodi od poreza na dohodak fizičkih osoba od </w:t>
      </w:r>
      <w:r w:rsidR="00E446B6">
        <w:t>imovine i imovinskih prava</w:t>
      </w:r>
      <w:r w:rsidR="009409AE" w:rsidRPr="00A12B5C">
        <w:t xml:space="preserve"> (</w:t>
      </w:r>
      <w:r w:rsidR="00E446B6">
        <w:t>168.863</w:t>
      </w:r>
      <w:r w:rsidR="009409AE" w:rsidRPr="00A12B5C">
        <w:t xml:space="preserve"> KM)</w:t>
      </w:r>
      <w:r w:rsidR="00A64280" w:rsidRPr="00A12B5C">
        <w:t xml:space="preserve">. </w:t>
      </w:r>
      <w:r w:rsidRPr="00A12B5C">
        <w:t>U odnosu na ostvarene prihode po osnovi poreza na dohodak u fiskaln</w:t>
      </w:r>
      <w:r w:rsidR="002E59A8" w:rsidRPr="00A12B5C">
        <w:t>oj</w:t>
      </w:r>
      <w:r w:rsidRPr="00A12B5C">
        <w:t xml:space="preserve"> 201</w:t>
      </w:r>
      <w:r w:rsidR="00E446B6">
        <w:t>8</w:t>
      </w:r>
      <w:r w:rsidRPr="00A12B5C">
        <w:t>. godin</w:t>
      </w:r>
      <w:r w:rsidR="002E59A8" w:rsidRPr="00A12B5C">
        <w:t>i</w:t>
      </w:r>
      <w:r w:rsidRPr="00A12B5C">
        <w:t xml:space="preserve"> uočava </w:t>
      </w:r>
      <w:r w:rsidR="007E6526" w:rsidRPr="00A12B5C">
        <w:t xml:space="preserve">se </w:t>
      </w:r>
      <w:r w:rsidR="00967F2A" w:rsidRPr="00A12B5C">
        <w:t>povećanje</w:t>
      </w:r>
      <w:r w:rsidRPr="00A12B5C">
        <w:t xml:space="preserve"> od </w:t>
      </w:r>
      <w:r w:rsidR="00E446B6">
        <w:t>7,33</w:t>
      </w:r>
      <w:r w:rsidRPr="00A12B5C">
        <w:t>%</w:t>
      </w:r>
      <w:r w:rsidR="007E6526" w:rsidRPr="00A12B5C">
        <w:t xml:space="preserve"> ili u apsolutnom iznosu </w:t>
      </w:r>
      <w:r w:rsidR="00967F2A" w:rsidRPr="00A12B5C">
        <w:t>povećanje</w:t>
      </w:r>
      <w:r w:rsidR="007E6526" w:rsidRPr="00A12B5C">
        <w:t xml:space="preserve"> od </w:t>
      </w:r>
      <w:r w:rsidR="00E446B6">
        <w:t>212.296</w:t>
      </w:r>
      <w:r w:rsidR="007E6526" w:rsidRPr="00A12B5C">
        <w:t xml:space="preserve"> KM</w:t>
      </w:r>
      <w:r w:rsidRPr="00A12B5C">
        <w:t>.</w:t>
      </w:r>
    </w:p>
    <w:p w:rsidR="00A64280" w:rsidRPr="00212735" w:rsidRDefault="00A64280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E3112" w:rsidRDefault="009554E4" w:rsidP="009365B4">
      <w:pPr>
        <w:pStyle w:val="Uvuenotijeloteksta"/>
        <w:spacing w:line="240" w:lineRule="auto"/>
        <w:ind w:firstLine="0"/>
      </w:pPr>
      <w:r w:rsidRPr="00A12B5C">
        <w:rPr>
          <w:b/>
        </w:rPr>
        <w:t>Prihodi od neizravnih poreza (potkategorija 717000)</w:t>
      </w:r>
      <w:r w:rsidRPr="00A12B5C">
        <w:t xml:space="preserve"> ostvareni su u visini od </w:t>
      </w:r>
      <w:r w:rsidR="00E446B6">
        <w:t>31.432.346 KM</w:t>
      </w:r>
      <w:r w:rsidRPr="00A12B5C">
        <w:t xml:space="preserve">, odnosno </w:t>
      </w:r>
      <w:r w:rsidR="00967F2A" w:rsidRPr="00A12B5C">
        <w:t>102,</w:t>
      </w:r>
      <w:r w:rsidR="00E446B6">
        <w:t>19</w:t>
      </w:r>
      <w:r w:rsidRPr="00A12B5C">
        <w:t>% u odnosu na planirane prihode</w:t>
      </w:r>
      <w:r w:rsidR="009409AE" w:rsidRPr="00A12B5C">
        <w:t xml:space="preserve"> po ovoj osnovi</w:t>
      </w:r>
      <w:r w:rsidR="009365B4" w:rsidRPr="00A12B5C">
        <w:t xml:space="preserve">, ili </w:t>
      </w:r>
      <w:r w:rsidR="00E446B6">
        <w:t>674.226</w:t>
      </w:r>
      <w:r w:rsidR="009365B4" w:rsidRPr="00A12B5C">
        <w:t xml:space="preserve"> KM više od plana</w:t>
      </w:r>
      <w:r w:rsidRPr="00A12B5C">
        <w:t>. Usporedbom s ostvarenjem u fiskaln</w:t>
      </w:r>
      <w:r w:rsidR="00607802" w:rsidRPr="00A12B5C">
        <w:t>oj</w:t>
      </w:r>
      <w:r w:rsidRPr="00A12B5C">
        <w:t xml:space="preserve"> 201</w:t>
      </w:r>
      <w:r w:rsidR="00E446B6">
        <w:t>8</w:t>
      </w:r>
      <w:r w:rsidRPr="00A12B5C">
        <w:t>.godin</w:t>
      </w:r>
      <w:r w:rsidR="00607802" w:rsidRPr="00A12B5C">
        <w:t>i</w:t>
      </w:r>
      <w:r w:rsidRPr="00A12B5C">
        <w:t xml:space="preserve">, ovi prihodi su </w:t>
      </w:r>
      <w:r w:rsidR="009365B4" w:rsidRPr="00A12B5C">
        <w:t>veći</w:t>
      </w:r>
      <w:r w:rsidRPr="00A12B5C">
        <w:t xml:space="preserve"> za </w:t>
      </w:r>
      <w:r w:rsidR="009365B4" w:rsidRPr="00A12B5C">
        <w:t>1.</w:t>
      </w:r>
      <w:r w:rsidR="00AE3112">
        <w:t>639</w:t>
      </w:r>
      <w:r w:rsidR="009365B4" w:rsidRPr="00A12B5C">
        <w:t>.</w:t>
      </w:r>
      <w:r w:rsidR="00AE3112">
        <w:t>653</w:t>
      </w:r>
      <w:r w:rsidRPr="00A12B5C">
        <w:t xml:space="preserve"> KM, odnosno </w:t>
      </w:r>
      <w:r w:rsidR="00AE3112">
        <w:t>5,50</w:t>
      </w:r>
      <w:r w:rsidRPr="00A12B5C">
        <w:t>%</w:t>
      </w:r>
      <w:r w:rsidR="00607802" w:rsidRPr="00A12B5C">
        <w:t xml:space="preserve"> </w:t>
      </w:r>
      <w:r w:rsidR="009365B4" w:rsidRPr="00A12B5C">
        <w:t>veći</w:t>
      </w:r>
      <w:r w:rsidRPr="00A12B5C">
        <w:t xml:space="preserve">. </w:t>
      </w:r>
      <w:r w:rsidR="009365B4" w:rsidRPr="00A12B5C">
        <w:t>Sukladno Uputi o određivanju udjela kantona, jedinica lokalne samouprave i nadležnih kantonalnih ustanova za ceste u prihodima od neizravnih poreza i načinu raspoređivanja tih prihoda za 201</w:t>
      </w:r>
      <w:r w:rsidR="00AE3112">
        <w:t>9</w:t>
      </w:r>
      <w:r w:rsidR="009365B4" w:rsidRPr="00A12B5C">
        <w:t>. godinu („Službene novine Federacije BiH“, broj: 10</w:t>
      </w:r>
      <w:r w:rsidR="00AE3112">
        <w:t>2</w:t>
      </w:r>
      <w:r w:rsidR="009365B4" w:rsidRPr="00A12B5C">
        <w:t>/1</w:t>
      </w:r>
      <w:r w:rsidR="00AE3112">
        <w:t>8</w:t>
      </w:r>
      <w:r w:rsidR="009365B4" w:rsidRPr="00A12B5C">
        <w:t xml:space="preserve">) udjel Županije Posavske u </w:t>
      </w:r>
      <w:r w:rsidR="00AE3112">
        <w:t xml:space="preserve">raspodjeli za </w:t>
      </w:r>
      <w:r w:rsidR="009365B4" w:rsidRPr="00A12B5C">
        <w:t>201</w:t>
      </w:r>
      <w:r w:rsidR="00AE3112">
        <w:t>9</w:t>
      </w:r>
      <w:r w:rsidR="009365B4" w:rsidRPr="00A12B5C">
        <w:t>. godin</w:t>
      </w:r>
      <w:r w:rsidR="00AE3112">
        <w:t>u</w:t>
      </w:r>
      <w:r w:rsidR="009365B4" w:rsidRPr="00A12B5C">
        <w:t xml:space="preserve"> iznosio je 2,</w:t>
      </w:r>
      <w:r w:rsidR="00AE3112">
        <w:t>050</w:t>
      </w:r>
      <w:r w:rsidR="009365B4" w:rsidRPr="00A12B5C">
        <w:t>%. Isti je u 201</w:t>
      </w:r>
      <w:r w:rsidR="00AE3112">
        <w:t>8</w:t>
      </w:r>
      <w:r w:rsidR="009365B4" w:rsidRPr="00A12B5C">
        <w:t>. godini iznosio 2,</w:t>
      </w:r>
      <w:r w:rsidR="00AE3112">
        <w:t>108</w:t>
      </w:r>
      <w:r w:rsidR="009365B4" w:rsidRPr="00A12B5C">
        <w:t>%, što u ovoj godini znači smanjenje za 2,</w:t>
      </w:r>
      <w:r w:rsidR="00AE3112">
        <w:t>75</w:t>
      </w:r>
      <w:r w:rsidR="009365B4" w:rsidRPr="00A12B5C">
        <w:t xml:space="preserve">%, dok se istovremeno očekuje rast ukupnih prihoda za raspodjelu. Osim navedenog, </w:t>
      </w:r>
      <w:r w:rsidR="00AE3112">
        <w:t>revidiranim projekcijama</w:t>
      </w:r>
      <w:r w:rsidR="009365B4" w:rsidRPr="00A12B5C">
        <w:t xml:space="preserve"> iz </w:t>
      </w:r>
      <w:r w:rsidR="00AE3112">
        <w:t>listopada</w:t>
      </w:r>
      <w:r w:rsidR="009365B4" w:rsidRPr="00A12B5C">
        <w:t xml:space="preserve"> 201</w:t>
      </w:r>
      <w:r w:rsidR="00AE3112">
        <w:t>9</w:t>
      </w:r>
      <w:r w:rsidR="009365B4" w:rsidRPr="00A12B5C">
        <w:t xml:space="preserve">. godine projiciran je dio prihoda po osnovi cestarine 0,25 KM/l naftnog derivata, koja se naplaćuje u skladu sa Zakonom o izmjenama i dopunama Zakona o trošarinama u Bosni i Hercegovini ("Službeni glasnik BiH", broj: 91/17). Projekcije su rađene na bazi ukupnog plana prihoda na Jedinstvenom računu, preuzetog od strane Odjeljenja za makroekonomsku analizu Upravnog odbora Uprave za neizravno oporezivanje (OMA), </w:t>
      </w:r>
      <w:r w:rsidR="00AE3112">
        <w:t>listopad</w:t>
      </w:r>
      <w:r w:rsidR="009365B4" w:rsidRPr="00A12B5C">
        <w:t xml:space="preserve"> 201</w:t>
      </w:r>
      <w:r w:rsidR="00AE3112">
        <w:t>9</w:t>
      </w:r>
      <w:r w:rsidR="009365B4" w:rsidRPr="00A12B5C">
        <w:t xml:space="preserve">. godine. Pripadajući dio prihoda za Federaciju BiH utvrđen je na osnovi Odluke o privremenoj raspodjeli prihoda od cestarine za izgradnju autocesta i izgradnju i rekonstrukciju drugih cesta, broj: UO 02-16-16-2/18, koju je 10.07.2018. godine usvojio Upravni odbor uprave za neizravno oporezivanje. </w:t>
      </w:r>
      <w:r w:rsidR="00AE3112">
        <w:t xml:space="preserve">Pripadajući dio Županije Posavske u navedenim prihodima projiciran je na 552.317 KM. Vlada Županije Posavske je u prosincu </w:t>
      </w:r>
      <w:r w:rsidR="00AE3112">
        <w:lastRenderedPageBreak/>
        <w:t xml:space="preserve">2019. godine donijela Odluku </w:t>
      </w:r>
      <w:r w:rsidR="00B36570">
        <w:t xml:space="preserve">o utvrđivanju udjela općina Županije Posavske u prihodu ostvarenom na temelju prihoda od neizravnih poreza koji pripadaju Direkciji cesta i prihoda od neizravnih poreza na ime financiranja autocesta u Federaciji Bosne i Hercegovine („Narodne novine Županije Posavske“, broj: 14/19), kojim se utvrđuju udjeli općina u navedenim prihodima, te način raspoređivanja i prijenosa sredstava s početkom primjene od 01.01.2020. godine. </w:t>
      </w:r>
    </w:p>
    <w:p w:rsidR="00AE3112" w:rsidRPr="00212735" w:rsidRDefault="00AE3112" w:rsidP="009365B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365B4" w:rsidRPr="00A12B5C" w:rsidRDefault="009365B4" w:rsidP="009365B4">
      <w:pPr>
        <w:pStyle w:val="Uvuenotijeloteksta"/>
        <w:spacing w:line="240" w:lineRule="auto"/>
        <w:ind w:firstLine="0"/>
      </w:pPr>
      <w:r w:rsidRPr="00A12B5C">
        <w:t>U nastavku je tablično prikazano kretanje naplate po osnovi prihoda od neizravnih poreza u 201</w:t>
      </w:r>
      <w:r w:rsidR="00B36570">
        <w:t>9</w:t>
      </w:r>
      <w:r w:rsidRPr="00A12B5C">
        <w:t>. godine po mjesecima.</w:t>
      </w:r>
    </w:p>
    <w:p w:rsidR="009365B4" w:rsidRPr="00A12B5C" w:rsidRDefault="009365B4" w:rsidP="009365B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365B4" w:rsidRPr="00A12B5C" w:rsidRDefault="009365B4" w:rsidP="009365B4">
      <w:pPr>
        <w:jc w:val="both"/>
        <w:rPr>
          <w:sz w:val="20"/>
          <w:szCs w:val="20"/>
        </w:rPr>
      </w:pPr>
      <w:r w:rsidRPr="00A12B5C">
        <w:rPr>
          <w:sz w:val="20"/>
          <w:szCs w:val="20"/>
        </w:rPr>
        <w:t>Tablica 3. Naplata prihoda od neizravnih poreza u 201</w:t>
      </w:r>
      <w:r w:rsidR="00B36570">
        <w:rPr>
          <w:sz w:val="20"/>
          <w:szCs w:val="20"/>
        </w:rPr>
        <w:t>9</w:t>
      </w:r>
      <w:r w:rsidRPr="00A12B5C">
        <w:rPr>
          <w:sz w:val="20"/>
          <w:szCs w:val="20"/>
        </w:rPr>
        <w:t>. g. po mjesecima</w:t>
      </w:r>
    </w:p>
    <w:tbl>
      <w:tblPr>
        <w:tblStyle w:val="Srednjipopis21"/>
        <w:tblW w:w="0" w:type="auto"/>
        <w:jc w:val="center"/>
        <w:tblLook w:val="04A0"/>
      </w:tblPr>
      <w:tblGrid>
        <w:gridCol w:w="1701"/>
        <w:gridCol w:w="1843"/>
        <w:gridCol w:w="1842"/>
        <w:gridCol w:w="1809"/>
        <w:gridCol w:w="1809"/>
      </w:tblGrid>
      <w:tr w:rsidR="00B36570" w:rsidRPr="00A12B5C" w:rsidTr="00B36570">
        <w:trPr>
          <w:cnfStyle w:val="100000000000"/>
          <w:jc w:val="center"/>
        </w:trPr>
        <w:tc>
          <w:tcPr>
            <w:cnfStyle w:val="001000000100"/>
            <w:tcW w:w="1701" w:type="dxa"/>
            <w:vAlign w:val="center"/>
          </w:tcPr>
          <w:p w:rsidR="00B36570" w:rsidRPr="0024493C" w:rsidRDefault="00B36570" w:rsidP="00B36570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1843" w:type="dxa"/>
          </w:tcPr>
          <w:p w:rsidR="00B36570" w:rsidRPr="0024493C" w:rsidRDefault="00B36570" w:rsidP="00B36570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717114 – </w:t>
            </w:r>
            <w:proofErr w:type="spellStart"/>
            <w:r w:rsidRPr="00A12B5C">
              <w:rPr>
                <w:b/>
                <w:sz w:val="20"/>
                <w:szCs w:val="20"/>
              </w:rPr>
              <w:t>Financ.autocesta</w:t>
            </w:r>
            <w:proofErr w:type="spellEnd"/>
          </w:p>
        </w:tc>
        <w:tc>
          <w:tcPr>
            <w:tcW w:w="1842" w:type="dxa"/>
            <w:vAlign w:val="center"/>
          </w:tcPr>
          <w:p w:rsidR="00B36570" w:rsidRPr="0024493C" w:rsidRDefault="00B36570" w:rsidP="00B36570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717121 –</w:t>
            </w:r>
          </w:p>
          <w:p w:rsidR="00B36570" w:rsidRPr="0024493C" w:rsidRDefault="00B36570" w:rsidP="00B36570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Županija</w:t>
            </w:r>
          </w:p>
        </w:tc>
        <w:tc>
          <w:tcPr>
            <w:tcW w:w="1809" w:type="dxa"/>
            <w:vAlign w:val="center"/>
          </w:tcPr>
          <w:p w:rsidR="00B36570" w:rsidRPr="0024493C" w:rsidRDefault="00B36570" w:rsidP="00B36570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717131 –</w:t>
            </w:r>
          </w:p>
          <w:p w:rsidR="00B36570" w:rsidRPr="0024493C" w:rsidRDefault="00B36570" w:rsidP="00B36570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Direkcija cesta</w:t>
            </w:r>
          </w:p>
        </w:tc>
        <w:tc>
          <w:tcPr>
            <w:tcW w:w="1809" w:type="dxa"/>
            <w:vAlign w:val="center"/>
          </w:tcPr>
          <w:p w:rsidR="00B36570" w:rsidRPr="0024493C" w:rsidRDefault="00B36570" w:rsidP="00B36570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 –</w:t>
            </w:r>
          </w:p>
          <w:p w:rsidR="00B36570" w:rsidRPr="0024493C" w:rsidRDefault="00B36570" w:rsidP="00B36570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Ukupno</w:t>
            </w:r>
          </w:p>
        </w:tc>
      </w:tr>
      <w:tr w:rsidR="00B36570" w:rsidRPr="00A12B5C" w:rsidTr="009365B4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01/201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42.515,74</w:t>
            </w:r>
          </w:p>
        </w:tc>
        <w:tc>
          <w:tcPr>
            <w:tcW w:w="1842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2.403.212,68</w:t>
            </w:r>
          </w:p>
        </w:tc>
        <w:tc>
          <w:tcPr>
            <w:tcW w:w="1809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65.530,01</w:t>
            </w:r>
          </w:p>
        </w:tc>
        <w:tc>
          <w:tcPr>
            <w:tcW w:w="1809" w:type="dxa"/>
          </w:tcPr>
          <w:p w:rsidR="00B36570" w:rsidRPr="00380E6C" w:rsidRDefault="00F2547B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3657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B36570">
              <w:rPr>
                <w:noProof/>
                <w:sz w:val="22"/>
                <w:szCs w:val="22"/>
              </w:rPr>
              <w:t>2.511.258,43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6570" w:rsidRPr="00A12B5C" w:rsidTr="009365B4">
        <w:trPr>
          <w:jc w:val="center"/>
        </w:trPr>
        <w:tc>
          <w:tcPr>
            <w:cnfStyle w:val="001000000000"/>
            <w:tcW w:w="1701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02/201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38.364,20</w:t>
            </w:r>
          </w:p>
        </w:tc>
        <w:tc>
          <w:tcPr>
            <w:tcW w:w="1842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2.233.435,43</w:t>
            </w:r>
          </w:p>
        </w:tc>
        <w:tc>
          <w:tcPr>
            <w:tcW w:w="1809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60.900,57</w:t>
            </w:r>
          </w:p>
        </w:tc>
        <w:tc>
          <w:tcPr>
            <w:tcW w:w="1809" w:type="dxa"/>
          </w:tcPr>
          <w:p w:rsidR="00B36570" w:rsidRPr="00380E6C" w:rsidRDefault="00F2547B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3657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B36570">
              <w:rPr>
                <w:noProof/>
                <w:sz w:val="22"/>
                <w:szCs w:val="22"/>
              </w:rPr>
              <w:t>2.332.700,2</w:t>
            </w:r>
            <w:r>
              <w:rPr>
                <w:sz w:val="22"/>
                <w:szCs w:val="22"/>
              </w:rPr>
              <w:fldChar w:fldCharType="end"/>
            </w:r>
            <w:r w:rsidR="00B36570">
              <w:rPr>
                <w:sz w:val="22"/>
                <w:szCs w:val="22"/>
              </w:rPr>
              <w:t>0</w:t>
            </w:r>
          </w:p>
        </w:tc>
      </w:tr>
      <w:tr w:rsidR="00B36570" w:rsidRPr="00A12B5C" w:rsidTr="009365B4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03/201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36.116,72</w:t>
            </w:r>
          </w:p>
        </w:tc>
        <w:tc>
          <w:tcPr>
            <w:tcW w:w="1842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2.186.035,31</w:t>
            </w:r>
          </w:p>
        </w:tc>
        <w:tc>
          <w:tcPr>
            <w:tcW w:w="1809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59.608,11</w:t>
            </w:r>
          </w:p>
        </w:tc>
        <w:tc>
          <w:tcPr>
            <w:tcW w:w="1809" w:type="dxa"/>
          </w:tcPr>
          <w:p w:rsidR="00B36570" w:rsidRPr="00380E6C" w:rsidRDefault="00F2547B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3657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B36570">
              <w:rPr>
                <w:noProof/>
                <w:sz w:val="22"/>
                <w:szCs w:val="22"/>
              </w:rPr>
              <w:t>2.281.760,14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6570" w:rsidRPr="00A12B5C" w:rsidTr="009365B4">
        <w:trPr>
          <w:jc w:val="center"/>
        </w:trPr>
        <w:tc>
          <w:tcPr>
            <w:cnfStyle w:val="001000000000"/>
            <w:tcW w:w="1701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380E6C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40.793,03</w:t>
            </w:r>
          </w:p>
        </w:tc>
        <w:tc>
          <w:tcPr>
            <w:tcW w:w="1842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2.667.539,28</w:t>
            </w:r>
          </w:p>
        </w:tc>
        <w:tc>
          <w:tcPr>
            <w:tcW w:w="1809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72.737,63</w:t>
            </w:r>
          </w:p>
        </w:tc>
        <w:tc>
          <w:tcPr>
            <w:tcW w:w="1809" w:type="dxa"/>
          </w:tcPr>
          <w:p w:rsidR="00B36570" w:rsidRPr="00380E6C" w:rsidRDefault="00F2547B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3657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B36570">
              <w:rPr>
                <w:noProof/>
                <w:sz w:val="22"/>
                <w:szCs w:val="22"/>
              </w:rPr>
              <w:t>2.781.069,94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6570" w:rsidRPr="00A12B5C" w:rsidTr="009365B4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380E6C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45.149,20</w:t>
            </w:r>
          </w:p>
        </w:tc>
        <w:tc>
          <w:tcPr>
            <w:tcW w:w="1842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2.502.923,24</w:t>
            </w:r>
          </w:p>
        </w:tc>
        <w:tc>
          <w:tcPr>
            <w:tcW w:w="1809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68.248,91</w:t>
            </w:r>
          </w:p>
        </w:tc>
        <w:tc>
          <w:tcPr>
            <w:tcW w:w="1809" w:type="dxa"/>
          </w:tcPr>
          <w:p w:rsidR="00B36570" w:rsidRPr="00380E6C" w:rsidRDefault="00F2547B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3657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B36570">
              <w:rPr>
                <w:noProof/>
                <w:sz w:val="22"/>
                <w:szCs w:val="22"/>
              </w:rPr>
              <w:t>2.616.321,35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6570" w:rsidRPr="00A12B5C" w:rsidTr="009365B4">
        <w:trPr>
          <w:jc w:val="center"/>
        </w:trPr>
        <w:tc>
          <w:tcPr>
            <w:cnfStyle w:val="001000000000"/>
            <w:tcW w:w="1701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380E6C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46.080,11</w:t>
            </w:r>
          </w:p>
        </w:tc>
        <w:tc>
          <w:tcPr>
            <w:tcW w:w="1842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2.008.041,97</w:t>
            </w:r>
          </w:p>
        </w:tc>
        <w:tc>
          <w:tcPr>
            <w:tcW w:w="1809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54.754,65</w:t>
            </w:r>
          </w:p>
        </w:tc>
        <w:tc>
          <w:tcPr>
            <w:tcW w:w="1809" w:type="dxa"/>
          </w:tcPr>
          <w:p w:rsidR="00B36570" w:rsidRPr="00380E6C" w:rsidRDefault="00F2547B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3657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B36570">
              <w:rPr>
                <w:noProof/>
                <w:sz w:val="22"/>
                <w:szCs w:val="22"/>
              </w:rPr>
              <w:t>2.108.876,73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6570" w:rsidRPr="00A12B5C" w:rsidTr="009365B4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07/2019</w:t>
            </w:r>
          </w:p>
        </w:tc>
        <w:tc>
          <w:tcPr>
            <w:tcW w:w="1843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43.370,83</w:t>
            </w:r>
          </w:p>
        </w:tc>
        <w:tc>
          <w:tcPr>
            <w:tcW w:w="1842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3.237.134,34</w:t>
            </w:r>
          </w:p>
        </w:tc>
        <w:tc>
          <w:tcPr>
            <w:tcW w:w="1809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88.269,10</w:t>
            </w:r>
          </w:p>
        </w:tc>
        <w:tc>
          <w:tcPr>
            <w:tcW w:w="1809" w:type="dxa"/>
          </w:tcPr>
          <w:p w:rsidR="00B36570" w:rsidRDefault="00F2547B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3657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B36570">
              <w:rPr>
                <w:noProof/>
                <w:sz w:val="22"/>
                <w:szCs w:val="22"/>
              </w:rPr>
              <w:t>3.368.774,27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6570" w:rsidRPr="00A12B5C" w:rsidTr="009365B4">
        <w:trPr>
          <w:jc w:val="center"/>
        </w:trPr>
        <w:tc>
          <w:tcPr>
            <w:cnfStyle w:val="001000000000"/>
            <w:tcW w:w="1701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08/2019</w:t>
            </w:r>
          </w:p>
        </w:tc>
        <w:tc>
          <w:tcPr>
            <w:tcW w:w="1843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54.259,43</w:t>
            </w:r>
          </w:p>
        </w:tc>
        <w:tc>
          <w:tcPr>
            <w:tcW w:w="1842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2.997.510,78</w:t>
            </w:r>
          </w:p>
        </w:tc>
        <w:tc>
          <w:tcPr>
            <w:tcW w:w="1809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81.735,16</w:t>
            </w:r>
          </w:p>
        </w:tc>
        <w:tc>
          <w:tcPr>
            <w:tcW w:w="1809" w:type="dxa"/>
          </w:tcPr>
          <w:p w:rsidR="00B36570" w:rsidRDefault="00F2547B" w:rsidP="00B36570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3657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B36570">
              <w:rPr>
                <w:noProof/>
                <w:sz w:val="22"/>
                <w:szCs w:val="22"/>
              </w:rPr>
              <w:t>3.133.505,37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6570" w:rsidRPr="00A12B5C" w:rsidTr="009365B4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B36570" w:rsidRPr="00380E6C" w:rsidRDefault="00B36570" w:rsidP="00B3657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09/2019</w:t>
            </w:r>
          </w:p>
        </w:tc>
        <w:tc>
          <w:tcPr>
            <w:tcW w:w="1843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54.611,38</w:t>
            </w:r>
          </w:p>
        </w:tc>
        <w:tc>
          <w:tcPr>
            <w:tcW w:w="1842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2.743.736,24</w:t>
            </w:r>
          </w:p>
        </w:tc>
        <w:tc>
          <w:tcPr>
            <w:tcW w:w="1809" w:type="dxa"/>
          </w:tcPr>
          <w:p w:rsidR="00B36570" w:rsidRDefault="00B36570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74.815,31</w:t>
            </w:r>
          </w:p>
        </w:tc>
        <w:tc>
          <w:tcPr>
            <w:tcW w:w="1809" w:type="dxa"/>
          </w:tcPr>
          <w:p w:rsidR="00B36570" w:rsidRDefault="00F2547B" w:rsidP="00B36570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3657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B36570">
              <w:rPr>
                <w:noProof/>
                <w:sz w:val="22"/>
                <w:szCs w:val="22"/>
              </w:rPr>
              <w:t>2.873.162,93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65B4" w:rsidRPr="00A12B5C" w:rsidTr="009365B4">
        <w:trPr>
          <w:jc w:val="center"/>
        </w:trPr>
        <w:tc>
          <w:tcPr>
            <w:cnfStyle w:val="001000000000"/>
            <w:tcW w:w="1701" w:type="dxa"/>
          </w:tcPr>
          <w:p w:rsidR="009365B4" w:rsidRPr="00A12B5C" w:rsidRDefault="009365B4" w:rsidP="00B3657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12B5C">
              <w:rPr>
                <w:sz w:val="22"/>
                <w:szCs w:val="22"/>
              </w:rPr>
              <w:t>10/201</w:t>
            </w:r>
            <w:r w:rsidR="00B36570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9365B4" w:rsidRPr="00A12B5C" w:rsidRDefault="00B36570" w:rsidP="009365B4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47.597,02</w:t>
            </w:r>
          </w:p>
        </w:tc>
        <w:tc>
          <w:tcPr>
            <w:tcW w:w="1842" w:type="dxa"/>
          </w:tcPr>
          <w:p w:rsidR="009365B4" w:rsidRPr="00A12B5C" w:rsidRDefault="00B36570" w:rsidP="009365B4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2.855.148,14</w:t>
            </w:r>
          </w:p>
        </w:tc>
        <w:tc>
          <w:tcPr>
            <w:tcW w:w="1809" w:type="dxa"/>
          </w:tcPr>
          <w:p w:rsidR="009365B4" w:rsidRPr="00A12B5C" w:rsidRDefault="00B36570" w:rsidP="009365B4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77.853,25</w:t>
            </w:r>
          </w:p>
        </w:tc>
        <w:tc>
          <w:tcPr>
            <w:tcW w:w="1809" w:type="dxa"/>
          </w:tcPr>
          <w:p w:rsidR="009365B4" w:rsidRPr="00A12B5C" w:rsidRDefault="00F2547B" w:rsidP="009365B4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3657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B36570">
              <w:rPr>
                <w:noProof/>
                <w:sz w:val="22"/>
                <w:szCs w:val="22"/>
              </w:rPr>
              <w:t>2.980.598,41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65B4" w:rsidRPr="00A12B5C" w:rsidTr="009365B4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9365B4" w:rsidRPr="00A12B5C" w:rsidRDefault="009365B4" w:rsidP="00B3657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12B5C">
              <w:rPr>
                <w:sz w:val="22"/>
                <w:szCs w:val="22"/>
              </w:rPr>
              <w:t>11/201</w:t>
            </w:r>
            <w:r w:rsidR="00B36570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9365B4" w:rsidRPr="00A12B5C" w:rsidRDefault="00B36570" w:rsidP="009365B4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50.782,64</w:t>
            </w:r>
          </w:p>
        </w:tc>
        <w:tc>
          <w:tcPr>
            <w:tcW w:w="1842" w:type="dxa"/>
          </w:tcPr>
          <w:p w:rsidR="009365B4" w:rsidRPr="00A12B5C" w:rsidRDefault="00B36570" w:rsidP="009365B4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2.419.181,44</w:t>
            </w:r>
          </w:p>
        </w:tc>
        <w:tc>
          <w:tcPr>
            <w:tcW w:w="1809" w:type="dxa"/>
          </w:tcPr>
          <w:p w:rsidR="009365B4" w:rsidRPr="00A12B5C" w:rsidRDefault="00B36570" w:rsidP="009365B4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65.965,45</w:t>
            </w:r>
          </w:p>
        </w:tc>
        <w:tc>
          <w:tcPr>
            <w:tcW w:w="1809" w:type="dxa"/>
          </w:tcPr>
          <w:p w:rsidR="009365B4" w:rsidRPr="00A12B5C" w:rsidRDefault="00F2547B" w:rsidP="00FD70CA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3657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B36570">
              <w:rPr>
                <w:noProof/>
                <w:sz w:val="22"/>
                <w:szCs w:val="22"/>
              </w:rPr>
              <w:t>2.535.929,53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65B4" w:rsidRPr="00A12B5C" w:rsidTr="009365B4">
        <w:trPr>
          <w:jc w:val="center"/>
        </w:trPr>
        <w:tc>
          <w:tcPr>
            <w:cnfStyle w:val="001000000000"/>
            <w:tcW w:w="1701" w:type="dxa"/>
          </w:tcPr>
          <w:p w:rsidR="009365B4" w:rsidRPr="00A12B5C" w:rsidRDefault="009365B4" w:rsidP="00B3657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12B5C">
              <w:rPr>
                <w:sz w:val="22"/>
                <w:szCs w:val="22"/>
              </w:rPr>
              <w:t>12/201</w:t>
            </w:r>
            <w:r w:rsidR="00B36570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9365B4" w:rsidRPr="00A12B5C" w:rsidRDefault="00B36570" w:rsidP="009365B4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40.967,03</w:t>
            </w:r>
          </w:p>
        </w:tc>
        <w:tc>
          <w:tcPr>
            <w:tcW w:w="1842" w:type="dxa"/>
          </w:tcPr>
          <w:p w:rsidR="009365B4" w:rsidRPr="00A12B5C" w:rsidRDefault="00B36570" w:rsidP="009365B4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2.797.615,19</w:t>
            </w:r>
          </w:p>
        </w:tc>
        <w:tc>
          <w:tcPr>
            <w:tcW w:w="1809" w:type="dxa"/>
          </w:tcPr>
          <w:p w:rsidR="009365B4" w:rsidRPr="00A12B5C" w:rsidRDefault="00B36570" w:rsidP="009365B4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76.284,45</w:t>
            </w:r>
          </w:p>
        </w:tc>
        <w:tc>
          <w:tcPr>
            <w:tcW w:w="1809" w:type="dxa"/>
          </w:tcPr>
          <w:p w:rsidR="009365B4" w:rsidRPr="00A12B5C" w:rsidRDefault="00F2547B" w:rsidP="009365B4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3657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B36570">
              <w:rPr>
                <w:noProof/>
                <w:sz w:val="22"/>
                <w:szCs w:val="22"/>
              </w:rPr>
              <w:t>2.914.866,67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65B4" w:rsidRPr="00A12B5C" w:rsidTr="009365B4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9365B4" w:rsidRPr="00A12B5C" w:rsidRDefault="009365B4" w:rsidP="009365B4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2B5C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43" w:type="dxa"/>
          </w:tcPr>
          <w:p w:rsidR="009365B4" w:rsidRPr="00A12B5C" w:rsidRDefault="00F2547B" w:rsidP="009365B4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B36570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B36570">
              <w:rPr>
                <w:b/>
                <w:noProof/>
                <w:sz w:val="22"/>
                <w:szCs w:val="22"/>
              </w:rPr>
              <w:t>540.607,33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9365B4" w:rsidRPr="00A12B5C" w:rsidRDefault="00F2547B" w:rsidP="009365B4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B36570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B36570">
              <w:rPr>
                <w:b/>
                <w:noProof/>
                <w:sz w:val="22"/>
                <w:szCs w:val="22"/>
              </w:rPr>
              <w:t>31.051.514,04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9" w:type="dxa"/>
          </w:tcPr>
          <w:p w:rsidR="009365B4" w:rsidRPr="00A12B5C" w:rsidRDefault="00F2547B" w:rsidP="009365B4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B36570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B36570">
              <w:rPr>
                <w:b/>
                <w:noProof/>
                <w:sz w:val="22"/>
                <w:szCs w:val="22"/>
              </w:rPr>
              <w:t>846.702,6</w:t>
            </w:r>
            <w:r>
              <w:rPr>
                <w:b/>
                <w:sz w:val="22"/>
                <w:szCs w:val="22"/>
              </w:rPr>
              <w:fldChar w:fldCharType="end"/>
            </w:r>
            <w:r w:rsidR="00B3657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09" w:type="dxa"/>
          </w:tcPr>
          <w:p w:rsidR="009365B4" w:rsidRPr="00A12B5C" w:rsidRDefault="00F2547B" w:rsidP="009365B4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B36570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B36570">
              <w:rPr>
                <w:b/>
                <w:noProof/>
                <w:sz w:val="22"/>
                <w:szCs w:val="22"/>
              </w:rPr>
              <w:t>32.438.823,97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9365B4" w:rsidRPr="00A12B5C" w:rsidRDefault="009365B4" w:rsidP="009365B4">
      <w:pPr>
        <w:pStyle w:val="Uvuenotijeloteksta"/>
        <w:spacing w:line="240" w:lineRule="auto"/>
        <w:ind w:firstLine="0"/>
      </w:pPr>
    </w:p>
    <w:p w:rsidR="0089445A" w:rsidRDefault="004675A9" w:rsidP="009365B4">
      <w:pPr>
        <w:pStyle w:val="Uvuenotijeloteksta"/>
        <w:spacing w:line="240" w:lineRule="auto"/>
        <w:ind w:firstLine="0"/>
      </w:pPr>
      <w:r w:rsidRPr="00A12B5C">
        <w:t>Prije zatvaranja fiskalne 201</w:t>
      </w:r>
      <w:r w:rsidR="00B36570">
        <w:t>9</w:t>
      </w:r>
      <w:r w:rsidRPr="00A12B5C">
        <w:t>. godine izvršeno je usklađivanje potrošnje na pozicijama tekućeg i investicijskog održavanja cesta pri Ministarstvu prometa, veza, turizma i zaštite okoliša s realiziranim prihodima od neizravnih poreza koji pripadaju Direkciji cesta, prihoda od cestarine za izgradnju autocesta i izgradnju i rekonstrukciju drugih cesta,</w:t>
      </w:r>
      <w:r w:rsidR="00B36570">
        <w:t xml:space="preserve"> i</w:t>
      </w:r>
      <w:r w:rsidRPr="00A12B5C">
        <w:t xml:space="preserve"> cestovnih naknada</w:t>
      </w:r>
      <w:r w:rsidR="0089445A" w:rsidRPr="00A12B5C">
        <w:t>. Neutrošeni višak navedenih namjenskih prihoda je razgraničen na dan 31.12.201</w:t>
      </w:r>
      <w:r w:rsidR="00B36570">
        <w:t>9</w:t>
      </w:r>
      <w:r w:rsidR="0089445A" w:rsidRPr="00A12B5C">
        <w:t>. godine za potrošnju u narednim godinama. Slijedi tablični prikaz.</w:t>
      </w:r>
    </w:p>
    <w:p w:rsidR="008437B9" w:rsidRPr="00A12B5C" w:rsidRDefault="008437B9" w:rsidP="008437B9">
      <w:pPr>
        <w:pStyle w:val="Uvuenotijeloteksta"/>
        <w:spacing w:line="240" w:lineRule="auto"/>
        <w:ind w:firstLine="0"/>
        <w:jc w:val="right"/>
        <w:rPr>
          <w:sz w:val="16"/>
          <w:szCs w:val="16"/>
        </w:rPr>
      </w:pPr>
      <w:r w:rsidRPr="00A12B5C">
        <w:rPr>
          <w:sz w:val="16"/>
          <w:szCs w:val="16"/>
        </w:rPr>
        <w:t>u KM</w:t>
      </w:r>
    </w:p>
    <w:tbl>
      <w:tblPr>
        <w:tblStyle w:val="Reetkatablice"/>
        <w:tblW w:w="9464" w:type="dxa"/>
        <w:tblLayout w:type="fixed"/>
        <w:tblLook w:val="04A0"/>
      </w:tblPr>
      <w:tblGrid>
        <w:gridCol w:w="534"/>
        <w:gridCol w:w="5102"/>
        <w:gridCol w:w="1275"/>
        <w:gridCol w:w="1370"/>
        <w:gridCol w:w="1183"/>
      </w:tblGrid>
      <w:tr w:rsidR="00BB7B3F" w:rsidRPr="00A12B5C" w:rsidTr="008E2136">
        <w:tc>
          <w:tcPr>
            <w:tcW w:w="534" w:type="dxa"/>
            <w:vAlign w:val="center"/>
          </w:tcPr>
          <w:p w:rsidR="00BB7B3F" w:rsidRPr="00A12B5C" w:rsidRDefault="00BB7B3F" w:rsidP="0027402C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A12B5C">
              <w:rPr>
                <w:b/>
                <w:sz w:val="14"/>
                <w:szCs w:val="14"/>
              </w:rPr>
              <w:t>RB</w:t>
            </w:r>
          </w:p>
        </w:tc>
        <w:tc>
          <w:tcPr>
            <w:tcW w:w="5102" w:type="dxa"/>
            <w:vAlign w:val="center"/>
          </w:tcPr>
          <w:p w:rsidR="00BB7B3F" w:rsidRPr="00A12B5C" w:rsidRDefault="00BB7B3F" w:rsidP="0027402C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A12B5C">
              <w:rPr>
                <w:b/>
                <w:sz w:val="14"/>
                <w:szCs w:val="14"/>
              </w:rPr>
              <w:t>Vrsta prihoda</w:t>
            </w:r>
          </w:p>
        </w:tc>
        <w:tc>
          <w:tcPr>
            <w:tcW w:w="1275" w:type="dxa"/>
            <w:vAlign w:val="center"/>
          </w:tcPr>
          <w:p w:rsidR="00BB7B3F" w:rsidRPr="00A12B5C" w:rsidRDefault="00BB7B3F" w:rsidP="00B36570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A12B5C">
              <w:rPr>
                <w:b/>
                <w:sz w:val="14"/>
                <w:szCs w:val="14"/>
              </w:rPr>
              <w:t>Stvarno realizirano u 201</w:t>
            </w:r>
            <w:r w:rsidR="00B36570">
              <w:rPr>
                <w:b/>
                <w:sz w:val="14"/>
                <w:szCs w:val="14"/>
              </w:rPr>
              <w:t>9</w:t>
            </w:r>
            <w:r w:rsidRPr="00A12B5C">
              <w:rPr>
                <w:b/>
                <w:sz w:val="14"/>
                <w:szCs w:val="14"/>
              </w:rPr>
              <w:t>. (u KM)</w:t>
            </w:r>
          </w:p>
        </w:tc>
        <w:tc>
          <w:tcPr>
            <w:tcW w:w="1370" w:type="dxa"/>
            <w:vAlign w:val="center"/>
          </w:tcPr>
          <w:p w:rsidR="00BB7B3F" w:rsidRPr="00A12B5C" w:rsidRDefault="008437B9" w:rsidP="00B36570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A12B5C">
              <w:rPr>
                <w:b/>
                <w:sz w:val="14"/>
                <w:szCs w:val="14"/>
              </w:rPr>
              <w:t xml:space="preserve">o/t </w:t>
            </w:r>
            <w:r w:rsidR="00BB7B3F" w:rsidRPr="00A12B5C">
              <w:rPr>
                <w:b/>
                <w:sz w:val="14"/>
                <w:szCs w:val="14"/>
              </w:rPr>
              <w:t>Prihodovano u 201</w:t>
            </w:r>
            <w:r w:rsidR="00B36570">
              <w:rPr>
                <w:b/>
                <w:sz w:val="14"/>
                <w:szCs w:val="14"/>
              </w:rPr>
              <w:t>9</w:t>
            </w:r>
            <w:r w:rsidR="00BB7B3F" w:rsidRPr="00A12B5C">
              <w:rPr>
                <w:b/>
                <w:sz w:val="14"/>
                <w:szCs w:val="14"/>
              </w:rPr>
              <w:t>. obzirom na namjensku potrošnju</w:t>
            </w:r>
          </w:p>
        </w:tc>
        <w:tc>
          <w:tcPr>
            <w:tcW w:w="1183" w:type="dxa"/>
            <w:vAlign w:val="center"/>
          </w:tcPr>
          <w:p w:rsidR="00BB7B3F" w:rsidRPr="00A12B5C" w:rsidRDefault="008437B9" w:rsidP="00B36570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A12B5C">
              <w:rPr>
                <w:b/>
                <w:sz w:val="14"/>
                <w:szCs w:val="14"/>
              </w:rPr>
              <w:t xml:space="preserve">o/t </w:t>
            </w:r>
            <w:r w:rsidR="00BB7B3F" w:rsidRPr="00A12B5C">
              <w:rPr>
                <w:b/>
                <w:sz w:val="14"/>
                <w:szCs w:val="14"/>
              </w:rPr>
              <w:t>Razgraničeno na 31.12.1</w:t>
            </w:r>
            <w:r w:rsidR="00B36570">
              <w:rPr>
                <w:b/>
                <w:sz w:val="14"/>
                <w:szCs w:val="14"/>
              </w:rPr>
              <w:t>9</w:t>
            </w:r>
            <w:r w:rsidR="00BB7B3F" w:rsidRPr="00A12B5C">
              <w:rPr>
                <w:b/>
                <w:sz w:val="14"/>
                <w:szCs w:val="14"/>
              </w:rPr>
              <w:t>.g.</w:t>
            </w:r>
          </w:p>
        </w:tc>
      </w:tr>
      <w:tr w:rsidR="00BB7B3F" w:rsidRPr="00A12B5C" w:rsidTr="008E2136">
        <w:tc>
          <w:tcPr>
            <w:tcW w:w="534" w:type="dxa"/>
            <w:vAlign w:val="center"/>
          </w:tcPr>
          <w:p w:rsidR="00BB7B3F" w:rsidRPr="00A12B5C" w:rsidRDefault="00BB7B3F" w:rsidP="0027402C">
            <w:pPr>
              <w:pStyle w:val="Uvuenotijelotekst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1.</w:t>
            </w:r>
          </w:p>
        </w:tc>
        <w:tc>
          <w:tcPr>
            <w:tcW w:w="5102" w:type="dxa"/>
          </w:tcPr>
          <w:p w:rsidR="00BB7B3F" w:rsidRPr="00A12B5C" w:rsidRDefault="00BB7B3F" w:rsidP="00212735">
            <w:pPr>
              <w:pStyle w:val="Uvuenotijeloteksta"/>
              <w:spacing w:line="240" w:lineRule="auto"/>
              <w:ind w:firstLine="0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 xml:space="preserve">Prihodi od </w:t>
            </w:r>
            <w:proofErr w:type="spellStart"/>
            <w:r w:rsidRPr="00A12B5C">
              <w:rPr>
                <w:sz w:val="18"/>
                <w:szCs w:val="18"/>
              </w:rPr>
              <w:t>neizr</w:t>
            </w:r>
            <w:r w:rsidR="00212735">
              <w:rPr>
                <w:sz w:val="18"/>
                <w:szCs w:val="18"/>
              </w:rPr>
              <w:t>.</w:t>
            </w:r>
            <w:r w:rsidRPr="00A12B5C">
              <w:rPr>
                <w:sz w:val="18"/>
                <w:szCs w:val="18"/>
              </w:rPr>
              <w:t>poreza</w:t>
            </w:r>
            <w:proofErr w:type="spellEnd"/>
            <w:r w:rsidRPr="00A12B5C">
              <w:rPr>
                <w:sz w:val="18"/>
                <w:szCs w:val="18"/>
              </w:rPr>
              <w:t xml:space="preserve"> na ime </w:t>
            </w:r>
            <w:proofErr w:type="spellStart"/>
            <w:r w:rsidRPr="00A12B5C">
              <w:rPr>
                <w:sz w:val="18"/>
                <w:szCs w:val="18"/>
              </w:rPr>
              <w:t>financ</w:t>
            </w:r>
            <w:r w:rsidR="00212735">
              <w:rPr>
                <w:sz w:val="18"/>
                <w:szCs w:val="18"/>
              </w:rPr>
              <w:t>.</w:t>
            </w:r>
            <w:r w:rsidRPr="00A12B5C">
              <w:rPr>
                <w:sz w:val="18"/>
                <w:szCs w:val="18"/>
              </w:rPr>
              <w:t>autocesta</w:t>
            </w:r>
            <w:proofErr w:type="spellEnd"/>
            <w:r w:rsidRPr="00A12B5C">
              <w:rPr>
                <w:sz w:val="18"/>
                <w:szCs w:val="18"/>
              </w:rPr>
              <w:t xml:space="preserve"> u </w:t>
            </w:r>
            <w:proofErr w:type="spellStart"/>
            <w:r w:rsidRPr="00A12B5C">
              <w:rPr>
                <w:sz w:val="18"/>
                <w:szCs w:val="18"/>
              </w:rPr>
              <w:t>FBiH</w:t>
            </w:r>
            <w:proofErr w:type="spellEnd"/>
            <w:r w:rsidRPr="00A12B5C">
              <w:rPr>
                <w:sz w:val="18"/>
                <w:szCs w:val="18"/>
              </w:rPr>
              <w:t xml:space="preserve"> (717114)</w:t>
            </w:r>
          </w:p>
        </w:tc>
        <w:tc>
          <w:tcPr>
            <w:tcW w:w="1275" w:type="dxa"/>
            <w:vAlign w:val="center"/>
          </w:tcPr>
          <w:p w:rsidR="00BB7B3F" w:rsidRPr="00A12B5C" w:rsidRDefault="008E2136" w:rsidP="0027402C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540.607,33</w:t>
            </w:r>
          </w:p>
        </w:tc>
        <w:tc>
          <w:tcPr>
            <w:tcW w:w="1370" w:type="dxa"/>
            <w:vAlign w:val="center"/>
          </w:tcPr>
          <w:p w:rsidR="00BB7B3F" w:rsidRPr="00A12B5C" w:rsidRDefault="008E2136" w:rsidP="0027402C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3" w:type="dxa"/>
            <w:vAlign w:val="center"/>
          </w:tcPr>
          <w:p w:rsidR="00BB7B3F" w:rsidRPr="00A12B5C" w:rsidRDefault="008E2136" w:rsidP="0027402C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540.607,13</w:t>
            </w:r>
          </w:p>
        </w:tc>
      </w:tr>
      <w:tr w:rsidR="00BB7B3F" w:rsidRPr="00A12B5C" w:rsidTr="008E2136">
        <w:tc>
          <w:tcPr>
            <w:tcW w:w="534" w:type="dxa"/>
            <w:vAlign w:val="center"/>
          </w:tcPr>
          <w:p w:rsidR="00BB7B3F" w:rsidRPr="00A12B5C" w:rsidRDefault="00BB7B3F" w:rsidP="0027402C">
            <w:pPr>
              <w:pStyle w:val="Uvuenotijelotekst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2.</w:t>
            </w:r>
          </w:p>
        </w:tc>
        <w:tc>
          <w:tcPr>
            <w:tcW w:w="5102" w:type="dxa"/>
          </w:tcPr>
          <w:p w:rsidR="00BB7B3F" w:rsidRPr="00A12B5C" w:rsidRDefault="00BB7B3F" w:rsidP="00212735">
            <w:pPr>
              <w:pStyle w:val="Uvuenotijeloteksta"/>
              <w:spacing w:line="240" w:lineRule="auto"/>
              <w:ind w:firstLine="0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 xml:space="preserve">Prihodi od </w:t>
            </w:r>
            <w:proofErr w:type="spellStart"/>
            <w:r w:rsidRPr="00A12B5C">
              <w:rPr>
                <w:sz w:val="18"/>
                <w:szCs w:val="18"/>
              </w:rPr>
              <w:t>neizr</w:t>
            </w:r>
            <w:r w:rsidR="00212735">
              <w:rPr>
                <w:sz w:val="18"/>
                <w:szCs w:val="18"/>
              </w:rPr>
              <w:t>.</w:t>
            </w:r>
            <w:r w:rsidRPr="00A12B5C">
              <w:rPr>
                <w:sz w:val="18"/>
                <w:szCs w:val="18"/>
              </w:rPr>
              <w:t>poreza</w:t>
            </w:r>
            <w:proofErr w:type="spellEnd"/>
            <w:r w:rsidRPr="00A12B5C">
              <w:rPr>
                <w:sz w:val="18"/>
                <w:szCs w:val="18"/>
              </w:rPr>
              <w:t xml:space="preserve"> koji pripadaju Direkciji cesta (717131)</w:t>
            </w:r>
          </w:p>
        </w:tc>
        <w:tc>
          <w:tcPr>
            <w:tcW w:w="1275" w:type="dxa"/>
            <w:vAlign w:val="center"/>
          </w:tcPr>
          <w:p w:rsidR="00BB7B3F" w:rsidRPr="00A12B5C" w:rsidRDefault="008E2136" w:rsidP="0027402C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846.702,60</w:t>
            </w:r>
          </w:p>
        </w:tc>
        <w:tc>
          <w:tcPr>
            <w:tcW w:w="1370" w:type="dxa"/>
            <w:vAlign w:val="center"/>
          </w:tcPr>
          <w:p w:rsidR="00BB7B3F" w:rsidRPr="00A12B5C" w:rsidRDefault="008E2136" w:rsidP="0027402C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380.831,17</w:t>
            </w:r>
          </w:p>
        </w:tc>
        <w:tc>
          <w:tcPr>
            <w:tcW w:w="1183" w:type="dxa"/>
            <w:vAlign w:val="center"/>
          </w:tcPr>
          <w:p w:rsidR="00BB7B3F" w:rsidRPr="00A12B5C" w:rsidRDefault="008E2136" w:rsidP="0027402C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465.871,43</w:t>
            </w:r>
          </w:p>
        </w:tc>
      </w:tr>
      <w:tr w:rsidR="00BB7B3F" w:rsidRPr="00A12B5C" w:rsidTr="008E2136">
        <w:tc>
          <w:tcPr>
            <w:tcW w:w="534" w:type="dxa"/>
          </w:tcPr>
          <w:p w:rsidR="00BB7B3F" w:rsidRPr="00A12B5C" w:rsidRDefault="00BB7B3F" w:rsidP="009365B4">
            <w:pPr>
              <w:pStyle w:val="Uvuenotijeloteksta"/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5102" w:type="dxa"/>
          </w:tcPr>
          <w:p w:rsidR="00BB7B3F" w:rsidRPr="00A12B5C" w:rsidRDefault="00BB7B3F" w:rsidP="009365B4">
            <w:pPr>
              <w:pStyle w:val="Uvuenotijeloteksta"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UKUPNO:</w:t>
            </w:r>
          </w:p>
        </w:tc>
        <w:tc>
          <w:tcPr>
            <w:tcW w:w="1275" w:type="dxa"/>
          </w:tcPr>
          <w:p w:rsidR="00BB7B3F" w:rsidRPr="00A12B5C" w:rsidRDefault="00F2547B" w:rsidP="0027402C">
            <w:pPr>
              <w:pStyle w:val="Uvuenotijeloteksta"/>
              <w:spacing w:line="240" w:lineRule="auto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8E2136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8E2136">
              <w:rPr>
                <w:b/>
                <w:noProof/>
                <w:sz w:val="18"/>
                <w:szCs w:val="18"/>
              </w:rPr>
              <w:t>1.387.309,93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0" w:type="dxa"/>
          </w:tcPr>
          <w:p w:rsidR="00BB7B3F" w:rsidRPr="00A12B5C" w:rsidRDefault="008E2136" w:rsidP="0027402C">
            <w:pPr>
              <w:pStyle w:val="Uvuenotijeloteksta"/>
              <w:spacing w:line="240" w:lineRule="auto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380.831,17</w:t>
            </w:r>
          </w:p>
        </w:tc>
        <w:tc>
          <w:tcPr>
            <w:tcW w:w="1183" w:type="dxa"/>
          </w:tcPr>
          <w:p w:rsidR="00BB7B3F" w:rsidRPr="00A12B5C" w:rsidRDefault="00F2547B" w:rsidP="0027402C">
            <w:pPr>
              <w:pStyle w:val="Uvuenotijeloteksta"/>
              <w:spacing w:line="240" w:lineRule="auto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8E2136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8E2136">
              <w:rPr>
                <w:b/>
                <w:noProof/>
                <w:sz w:val="18"/>
                <w:szCs w:val="18"/>
              </w:rPr>
              <w:t>1.006.478,56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9365B4" w:rsidRPr="00A12B5C" w:rsidRDefault="0089445A" w:rsidP="009365B4">
      <w:pPr>
        <w:pStyle w:val="Uvuenotijeloteksta"/>
        <w:spacing w:line="240" w:lineRule="auto"/>
        <w:ind w:firstLine="0"/>
      </w:pPr>
      <w:r w:rsidRPr="00A12B5C">
        <w:t xml:space="preserve"> </w:t>
      </w:r>
    </w:p>
    <w:p w:rsidR="009365B4" w:rsidRPr="00A12B5C" w:rsidRDefault="009365B4" w:rsidP="009365B4">
      <w:pPr>
        <w:pStyle w:val="Uvuenotijeloteksta"/>
        <w:spacing w:line="240" w:lineRule="auto"/>
        <w:ind w:firstLine="0"/>
      </w:pPr>
      <w:r w:rsidRPr="00A12B5C">
        <w:t>Na donjem grafu je prikazano usporedno kretanje prihoda od neizravnih poreza koji pripadaju Županiji (bez Direkcije cesta i financiranja autocesta) po mjesecima u 201</w:t>
      </w:r>
      <w:r w:rsidR="008E2136">
        <w:t>8</w:t>
      </w:r>
      <w:r w:rsidRPr="00A12B5C">
        <w:t>. i 201</w:t>
      </w:r>
      <w:r w:rsidR="008E2136">
        <w:t>9</w:t>
      </w:r>
      <w:r w:rsidRPr="00A12B5C">
        <w:t>. godini.</w:t>
      </w:r>
    </w:p>
    <w:p w:rsidR="009365B4" w:rsidRPr="00A12B5C" w:rsidRDefault="009365B4" w:rsidP="009365B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365B4" w:rsidRPr="00A12B5C" w:rsidRDefault="009365B4" w:rsidP="009365B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365B4" w:rsidRPr="00A12B5C" w:rsidRDefault="009365B4" w:rsidP="009365B4">
      <w:pPr>
        <w:pStyle w:val="Uvuenotijeloteksta"/>
        <w:spacing w:line="240" w:lineRule="auto"/>
        <w:ind w:firstLine="0"/>
        <w:jc w:val="center"/>
      </w:pPr>
      <w:r w:rsidRPr="00A12B5C">
        <w:rPr>
          <w:noProof/>
          <w:lang w:eastAsia="hr-HR"/>
        </w:rPr>
        <w:drawing>
          <wp:inline distT="0" distB="0" distL="0" distR="0">
            <wp:extent cx="4410636" cy="1583764"/>
            <wp:effectExtent l="0" t="0" r="9525" b="1651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65B4" w:rsidRDefault="009365B4" w:rsidP="009365B4">
      <w:pPr>
        <w:jc w:val="center"/>
        <w:rPr>
          <w:sz w:val="20"/>
          <w:szCs w:val="20"/>
        </w:rPr>
      </w:pPr>
      <w:r w:rsidRPr="00A12B5C">
        <w:rPr>
          <w:sz w:val="20"/>
          <w:szCs w:val="20"/>
        </w:rPr>
        <w:t>Graf 4. Kretanje prihoda od neizravnih poreza koji pripadaju ŽP (bez cesta) po mjesecima u 201</w:t>
      </w:r>
      <w:r w:rsidR="008E2136">
        <w:rPr>
          <w:sz w:val="20"/>
          <w:szCs w:val="20"/>
        </w:rPr>
        <w:t>8</w:t>
      </w:r>
      <w:r w:rsidRPr="00A12B5C">
        <w:rPr>
          <w:sz w:val="20"/>
          <w:szCs w:val="20"/>
        </w:rPr>
        <w:t>. i 201</w:t>
      </w:r>
      <w:r w:rsidR="008E2136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p w:rsidR="009554E4" w:rsidRPr="00A12B5C" w:rsidRDefault="009554E4" w:rsidP="009554E4">
      <w:pPr>
        <w:pStyle w:val="Uvuenotijeloteksta"/>
        <w:spacing w:line="240" w:lineRule="auto"/>
        <w:ind w:firstLine="0"/>
      </w:pPr>
      <w:r w:rsidRPr="00A12B5C">
        <w:rPr>
          <w:b/>
        </w:rPr>
        <w:lastRenderedPageBreak/>
        <w:t>Prihodi po osnovi ostalih poreza (potkategorija 719000)</w:t>
      </w:r>
      <w:r w:rsidRPr="00A12B5C">
        <w:t xml:space="preserve"> ostvareni su u iznosu od </w:t>
      </w:r>
      <w:r w:rsidR="008E2136">
        <w:t>121</w:t>
      </w:r>
      <w:r w:rsidR="00127DB8" w:rsidRPr="00A12B5C">
        <w:t xml:space="preserve"> </w:t>
      </w:r>
      <w:r w:rsidRPr="00A12B5C">
        <w:t xml:space="preserve">KM, </w:t>
      </w:r>
      <w:r w:rsidR="00D4474C" w:rsidRPr="00A12B5C">
        <w:t xml:space="preserve">što je </w:t>
      </w:r>
      <w:r w:rsidR="008E2136">
        <w:t>67,22</w:t>
      </w:r>
      <w:r w:rsidR="00D4474C" w:rsidRPr="00A12B5C">
        <w:t>%</w:t>
      </w:r>
      <w:r w:rsidR="00127DB8" w:rsidRPr="00A12B5C">
        <w:t xml:space="preserve"> </w:t>
      </w:r>
      <w:r w:rsidR="00607802" w:rsidRPr="00A12B5C">
        <w:t>od</w:t>
      </w:r>
      <w:r w:rsidR="00127DB8" w:rsidRPr="00A12B5C">
        <w:t xml:space="preserve"> </w:t>
      </w:r>
      <w:r w:rsidRPr="00A12B5C">
        <w:t>ukupno planiran</w:t>
      </w:r>
      <w:r w:rsidR="00127DB8" w:rsidRPr="00A12B5C">
        <w:t>o</w:t>
      </w:r>
      <w:r w:rsidR="00607802" w:rsidRPr="00A12B5C">
        <w:t>g</w:t>
      </w:r>
      <w:r w:rsidRPr="00A12B5C">
        <w:t xml:space="preserve"> u 201</w:t>
      </w:r>
      <w:r w:rsidR="008E2136">
        <w:t>9</w:t>
      </w:r>
      <w:r w:rsidRPr="00A12B5C">
        <w:t>. godini</w:t>
      </w:r>
      <w:r w:rsidR="00AC1700" w:rsidRPr="00A12B5C">
        <w:t xml:space="preserve"> po toj osnovi</w:t>
      </w:r>
      <w:r w:rsidR="00607802" w:rsidRPr="00A12B5C">
        <w:t xml:space="preserve">, odnosno ostvareno je </w:t>
      </w:r>
      <w:r w:rsidR="008E2136">
        <w:t>59</w:t>
      </w:r>
      <w:r w:rsidR="00607802" w:rsidRPr="00A12B5C">
        <w:t xml:space="preserve"> KM manje od plana. U odnosu na fiskalnu 201</w:t>
      </w:r>
      <w:r w:rsidR="008E2136">
        <w:t>8</w:t>
      </w:r>
      <w:r w:rsidR="00607802" w:rsidRPr="00A12B5C">
        <w:t>. godinu ostvarenje u 201</w:t>
      </w:r>
      <w:r w:rsidR="008E2136">
        <w:t>9</w:t>
      </w:r>
      <w:r w:rsidR="00607802" w:rsidRPr="00A12B5C">
        <w:t xml:space="preserve">. godini je u apsolutnom iznosu </w:t>
      </w:r>
      <w:r w:rsidR="008E2136">
        <w:t>manje</w:t>
      </w:r>
      <w:r w:rsidR="00607802" w:rsidRPr="00A12B5C">
        <w:t xml:space="preserve"> za </w:t>
      </w:r>
      <w:r w:rsidR="008E2136">
        <w:t>157</w:t>
      </w:r>
      <w:r w:rsidR="00607802" w:rsidRPr="00A12B5C">
        <w:t xml:space="preserve"> KM</w:t>
      </w:r>
      <w:r w:rsidRPr="00A12B5C">
        <w:t>.</w:t>
      </w:r>
      <w:r w:rsidR="00504466" w:rsidRPr="00A12B5C">
        <w:t xml:space="preserve"> </w:t>
      </w:r>
      <w:r w:rsidR="009F7202" w:rsidRPr="00A12B5C">
        <w:t>Ova skupina</w:t>
      </w:r>
      <w:r w:rsidR="00504466" w:rsidRPr="00A12B5C">
        <w:t xml:space="preserve"> prihoda </w:t>
      </w:r>
      <w:r w:rsidR="00C10967" w:rsidRPr="00A12B5C">
        <w:t>obuhvaća</w:t>
      </w:r>
      <w:r w:rsidR="00D4474C" w:rsidRPr="00A12B5C">
        <w:t xml:space="preserve"> </w:t>
      </w:r>
      <w:r w:rsidR="00504466" w:rsidRPr="00A12B5C">
        <w:t xml:space="preserve">prihode po osnovi </w:t>
      </w:r>
      <w:r w:rsidR="000E5B3D" w:rsidRPr="00A12B5C">
        <w:t>ostalih poreza</w:t>
      </w:r>
      <w:r w:rsidR="00504466" w:rsidRPr="00A12B5C">
        <w:t xml:space="preserve"> (analitički konto 71911</w:t>
      </w:r>
      <w:r w:rsidR="000E5B3D" w:rsidRPr="00A12B5C">
        <w:t>1</w:t>
      </w:r>
      <w:r w:rsidR="00504466" w:rsidRPr="00A12B5C">
        <w:t>)</w:t>
      </w:r>
      <w:r w:rsidR="00C10967" w:rsidRPr="00A12B5C">
        <w:t>, poseban porez na plaću za zaštitu od prirodnih i drugih nesreća (zao</w:t>
      </w:r>
      <w:r w:rsidR="003068AD" w:rsidRPr="00A12B5C">
        <w:t>s</w:t>
      </w:r>
      <w:r w:rsidR="00C10967" w:rsidRPr="00A12B5C">
        <w:t>tale obveze) i poseban porez za zaštitu od prirodnih i drugih nesreća po osnovi ugovora o djelu i povremenih i privremenih poslova (zaostale obveze).</w:t>
      </w:r>
    </w:p>
    <w:p w:rsidR="009554E4" w:rsidRPr="00A12B5C" w:rsidRDefault="009554E4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574AB7" w:rsidRPr="00A12B5C" w:rsidRDefault="00574AB7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9554E4" w:rsidRPr="00A12B5C" w:rsidRDefault="00AD16F2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  <w:r w:rsidRPr="00A12B5C">
        <w:rPr>
          <w:b/>
          <w:bCs/>
          <w:i/>
        </w:rPr>
        <w:t>1</w:t>
      </w:r>
      <w:r w:rsidR="009554E4" w:rsidRPr="00A12B5C">
        <w:rPr>
          <w:b/>
          <w:bCs/>
          <w:i/>
        </w:rPr>
        <w:t xml:space="preserve">.2 </w:t>
      </w:r>
      <w:r w:rsidR="009554E4" w:rsidRPr="00A12B5C">
        <w:rPr>
          <w:b/>
          <w:bCs/>
          <w:i/>
        </w:rPr>
        <w:tab/>
        <w:t>NEPOREZNI PRIHODI</w:t>
      </w:r>
    </w:p>
    <w:p w:rsidR="009554E4" w:rsidRPr="00A12B5C" w:rsidRDefault="009554E4" w:rsidP="009554E4">
      <w:pPr>
        <w:pStyle w:val="Uvuenotijeloteksta"/>
        <w:spacing w:line="240" w:lineRule="auto"/>
        <w:jc w:val="left"/>
        <w:rPr>
          <w:b/>
          <w:bCs/>
        </w:rPr>
      </w:pPr>
    </w:p>
    <w:p w:rsidR="009554E4" w:rsidRPr="00A12B5C" w:rsidRDefault="009554E4" w:rsidP="009554E4">
      <w:pPr>
        <w:pStyle w:val="Uvuenotijeloteksta"/>
        <w:spacing w:line="240" w:lineRule="auto"/>
        <w:ind w:firstLine="0"/>
      </w:pPr>
      <w:r w:rsidRPr="00A12B5C">
        <w:t xml:space="preserve">Neporezni prihodi (kategorija 720000) ostvareni su u visini od </w:t>
      </w:r>
      <w:r w:rsidR="005D3931">
        <w:t>2.824.894</w:t>
      </w:r>
      <w:r w:rsidRPr="00A12B5C">
        <w:t xml:space="preserve"> KM, odnosno </w:t>
      </w:r>
      <w:r w:rsidR="005D3931">
        <w:t>104,92</w:t>
      </w:r>
      <w:r w:rsidRPr="00A12B5C">
        <w:t>% u odnosu na planirane neporezne prihode u 201</w:t>
      </w:r>
      <w:r w:rsidR="005D3931">
        <w:t>9</w:t>
      </w:r>
      <w:r w:rsidRPr="00A12B5C">
        <w:t>. godini</w:t>
      </w:r>
      <w:r w:rsidR="00537A9F" w:rsidRPr="00A12B5C">
        <w:t xml:space="preserve">, što znači da je u apsolutnom iznosu ostvareno </w:t>
      </w:r>
      <w:r w:rsidR="005D3931">
        <w:t>132.404</w:t>
      </w:r>
      <w:r w:rsidR="00537A9F" w:rsidRPr="00A12B5C">
        <w:t xml:space="preserve"> KM </w:t>
      </w:r>
      <w:r w:rsidR="005D3931">
        <w:t>više</w:t>
      </w:r>
      <w:r w:rsidR="00537A9F" w:rsidRPr="00A12B5C">
        <w:t xml:space="preserve"> od plana. </w:t>
      </w:r>
      <w:r w:rsidR="00965FC9">
        <w:t xml:space="preserve">U odnosu na plan za 2019. godinu, promatrano kumulativno, u sve tri </w:t>
      </w:r>
      <w:proofErr w:type="spellStart"/>
      <w:r w:rsidR="00965FC9">
        <w:t>podkategorije</w:t>
      </w:r>
      <w:proofErr w:type="spellEnd"/>
      <w:r w:rsidR="00965FC9">
        <w:t xml:space="preserve"> neporeznih prihoda ostvarenje je bilo veće od plana. Nadalje, p</w:t>
      </w:r>
      <w:r w:rsidR="00537A9F" w:rsidRPr="00A12B5C">
        <w:t>romatrano u odnosu na ostvarenje u fiskalnoj 201</w:t>
      </w:r>
      <w:r w:rsidR="005D3931">
        <w:t>8</w:t>
      </w:r>
      <w:r w:rsidR="00537A9F" w:rsidRPr="00A12B5C">
        <w:t xml:space="preserve">. godini došlo je do </w:t>
      </w:r>
      <w:r w:rsidR="00DF3663" w:rsidRPr="00A12B5C">
        <w:t>rasta</w:t>
      </w:r>
      <w:r w:rsidR="00537A9F" w:rsidRPr="00A12B5C">
        <w:t xml:space="preserve"> neporeznih prihoda u apsolutnom iznosu od </w:t>
      </w:r>
      <w:r w:rsidR="005D3931">
        <w:t>187.216</w:t>
      </w:r>
      <w:r w:rsidR="00537A9F" w:rsidRPr="00A12B5C">
        <w:t xml:space="preserve"> KM</w:t>
      </w:r>
      <w:r w:rsidR="009B2F19" w:rsidRPr="00A12B5C">
        <w:t xml:space="preserve">, odnosno </w:t>
      </w:r>
      <w:r w:rsidR="00DF3663" w:rsidRPr="00A12B5C">
        <w:t>rasta</w:t>
      </w:r>
      <w:r w:rsidR="009B2F19" w:rsidRPr="00A12B5C">
        <w:t xml:space="preserve"> </w:t>
      </w:r>
      <w:r w:rsidR="00DF3663" w:rsidRPr="00A12B5C">
        <w:t>od</w:t>
      </w:r>
      <w:r w:rsidR="009B2F19" w:rsidRPr="00A12B5C">
        <w:t xml:space="preserve"> </w:t>
      </w:r>
      <w:r w:rsidR="005D3931">
        <w:t>7,10</w:t>
      </w:r>
      <w:r w:rsidR="009B2F19" w:rsidRPr="00A12B5C">
        <w:t xml:space="preserve">%. </w:t>
      </w:r>
      <w:r w:rsidRPr="00A12B5C">
        <w:t xml:space="preserve">Učešće pojedinih kategorija neporeznih prihoda u ukupno ostvarenim neporeznim prihodima prikazano je u Tablici </w:t>
      </w:r>
      <w:r w:rsidR="00A832B5" w:rsidRPr="00A12B5C">
        <w:t>4</w:t>
      </w:r>
      <w:r w:rsidRPr="00A12B5C">
        <w:t xml:space="preserve">. i na Grafu </w:t>
      </w:r>
      <w:r w:rsidR="00A832B5" w:rsidRPr="00A12B5C">
        <w:t>5</w:t>
      </w:r>
      <w:r w:rsidRPr="00A12B5C">
        <w:t>.</w:t>
      </w:r>
    </w:p>
    <w:p w:rsidR="008506B6" w:rsidRPr="00A12B5C" w:rsidRDefault="008506B6" w:rsidP="009554E4">
      <w:pPr>
        <w:jc w:val="both"/>
        <w:rPr>
          <w:sz w:val="20"/>
          <w:szCs w:val="20"/>
        </w:rPr>
      </w:pPr>
    </w:p>
    <w:p w:rsidR="009554E4" w:rsidRPr="00A12B5C" w:rsidRDefault="009554E4" w:rsidP="009554E4">
      <w:pPr>
        <w:jc w:val="both"/>
        <w:rPr>
          <w:sz w:val="20"/>
          <w:szCs w:val="20"/>
        </w:rPr>
      </w:pPr>
      <w:r w:rsidRPr="00A12B5C">
        <w:rPr>
          <w:sz w:val="20"/>
          <w:szCs w:val="20"/>
        </w:rPr>
        <w:t xml:space="preserve">Tablica </w:t>
      </w:r>
      <w:r w:rsidR="00A832B5" w:rsidRPr="00A12B5C">
        <w:rPr>
          <w:sz w:val="20"/>
          <w:szCs w:val="20"/>
        </w:rPr>
        <w:t>4</w:t>
      </w:r>
      <w:r w:rsidRPr="00A12B5C">
        <w:rPr>
          <w:sz w:val="20"/>
          <w:szCs w:val="20"/>
        </w:rPr>
        <w:t xml:space="preserve">. Struktura ostvarenih neporeznih prihoda Proračuna </w:t>
      </w:r>
      <w:proofErr w:type="spellStart"/>
      <w:r w:rsidRPr="00A12B5C">
        <w:rPr>
          <w:sz w:val="20"/>
          <w:szCs w:val="20"/>
        </w:rPr>
        <w:t>Žup.Posavske</w:t>
      </w:r>
      <w:proofErr w:type="spellEnd"/>
      <w:r w:rsidRPr="00A12B5C">
        <w:rPr>
          <w:sz w:val="20"/>
          <w:szCs w:val="20"/>
        </w:rPr>
        <w:t xml:space="preserve"> u 201</w:t>
      </w:r>
      <w:r w:rsidR="005D3931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A12B5C" w:rsidTr="00A36A0D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A12B5C" w:rsidRDefault="009554E4" w:rsidP="00612567">
            <w:pPr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54E4" w:rsidRPr="00A12B5C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Ostvareno</w:t>
            </w:r>
          </w:p>
          <w:p w:rsidR="009554E4" w:rsidRPr="00A12B5C" w:rsidRDefault="009554E4" w:rsidP="005D3931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201</w:t>
            </w:r>
            <w:r w:rsidR="005D3931">
              <w:rPr>
                <w:b/>
                <w:sz w:val="22"/>
              </w:rPr>
              <w:t>9</w:t>
            </w:r>
            <w:r w:rsidRPr="00A12B5C">
              <w:rPr>
                <w:b/>
                <w:sz w:val="22"/>
              </w:rPr>
              <w:t>.g. (u KM)</w:t>
            </w:r>
          </w:p>
        </w:tc>
        <w:tc>
          <w:tcPr>
            <w:tcW w:w="1242" w:type="dxa"/>
            <w:vAlign w:val="center"/>
          </w:tcPr>
          <w:p w:rsidR="009554E4" w:rsidRPr="00A12B5C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%</w:t>
            </w:r>
          </w:p>
          <w:p w:rsidR="009554E4" w:rsidRPr="00A12B5C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učešća</w:t>
            </w:r>
          </w:p>
        </w:tc>
      </w:tr>
      <w:tr w:rsidR="009554E4" w:rsidRPr="00A12B5C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2B5C" w:rsidRDefault="009554E4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Prihodi od poduzetničkih aktivnosti i imovine i prihodi od pozitivnih tečajnih razlika</w:t>
            </w:r>
          </w:p>
        </w:tc>
        <w:tc>
          <w:tcPr>
            <w:tcW w:w="2409" w:type="dxa"/>
            <w:vAlign w:val="center"/>
          </w:tcPr>
          <w:p w:rsidR="009554E4" w:rsidRPr="00A12B5C" w:rsidRDefault="005D3931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94.010</w:t>
            </w:r>
          </w:p>
        </w:tc>
        <w:tc>
          <w:tcPr>
            <w:tcW w:w="1242" w:type="dxa"/>
            <w:vAlign w:val="center"/>
          </w:tcPr>
          <w:p w:rsidR="009554E4" w:rsidRPr="00A12B5C" w:rsidRDefault="00965FC9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3,33</w:t>
            </w:r>
          </w:p>
        </w:tc>
      </w:tr>
      <w:tr w:rsidR="009554E4" w:rsidRPr="00A12B5C" w:rsidTr="00612567">
        <w:tc>
          <w:tcPr>
            <w:cnfStyle w:val="001000000000"/>
            <w:tcW w:w="5637" w:type="dxa"/>
          </w:tcPr>
          <w:p w:rsidR="009554E4" w:rsidRPr="00A12B5C" w:rsidRDefault="009554E4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Naknade i pristojbe i prihodi od pružanja javnih usluga</w:t>
            </w:r>
          </w:p>
        </w:tc>
        <w:tc>
          <w:tcPr>
            <w:tcW w:w="2409" w:type="dxa"/>
            <w:vAlign w:val="center"/>
          </w:tcPr>
          <w:p w:rsidR="009554E4" w:rsidRPr="00A12B5C" w:rsidRDefault="005D3931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2.102.582</w:t>
            </w:r>
          </w:p>
        </w:tc>
        <w:tc>
          <w:tcPr>
            <w:tcW w:w="1242" w:type="dxa"/>
            <w:vAlign w:val="center"/>
          </w:tcPr>
          <w:p w:rsidR="009554E4" w:rsidRPr="00A12B5C" w:rsidRDefault="00965FC9" w:rsidP="0061256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74,43</w:t>
            </w:r>
          </w:p>
        </w:tc>
      </w:tr>
      <w:tr w:rsidR="009554E4" w:rsidRPr="00A12B5C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2B5C" w:rsidRDefault="009554E4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Novčane kazne</w:t>
            </w:r>
          </w:p>
        </w:tc>
        <w:tc>
          <w:tcPr>
            <w:tcW w:w="2409" w:type="dxa"/>
            <w:vAlign w:val="center"/>
          </w:tcPr>
          <w:p w:rsidR="009554E4" w:rsidRPr="00A12B5C" w:rsidRDefault="005D3931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628.302</w:t>
            </w:r>
          </w:p>
        </w:tc>
        <w:tc>
          <w:tcPr>
            <w:tcW w:w="1242" w:type="dxa"/>
            <w:vAlign w:val="center"/>
          </w:tcPr>
          <w:p w:rsidR="009554E4" w:rsidRPr="00A12B5C" w:rsidRDefault="00965FC9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22,24</w:t>
            </w:r>
          </w:p>
        </w:tc>
      </w:tr>
      <w:tr w:rsidR="009554E4" w:rsidRPr="00A12B5C" w:rsidTr="00612567">
        <w:tc>
          <w:tcPr>
            <w:cnfStyle w:val="001000000000"/>
            <w:tcW w:w="5637" w:type="dxa"/>
          </w:tcPr>
          <w:p w:rsidR="009554E4" w:rsidRPr="00A12B5C" w:rsidRDefault="009554E4" w:rsidP="00612567">
            <w:pPr>
              <w:jc w:val="both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3B5D0E" w:rsidRPr="00A12B5C" w:rsidRDefault="00F2547B" w:rsidP="00796904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5D3931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5D3931">
              <w:rPr>
                <w:b/>
                <w:noProof/>
                <w:sz w:val="22"/>
              </w:rPr>
              <w:t>2.824.894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A12B5C" w:rsidRDefault="00F2547B" w:rsidP="00612567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965FC9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965FC9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965FC9">
              <w:rPr>
                <w:b/>
                <w:sz w:val="22"/>
              </w:rPr>
              <w:t>,00</w:t>
            </w:r>
          </w:p>
        </w:tc>
      </w:tr>
    </w:tbl>
    <w:p w:rsidR="00AC3905" w:rsidRPr="00A12B5C" w:rsidRDefault="00AC3905" w:rsidP="009554E4">
      <w:pPr>
        <w:pStyle w:val="Uvuenotijeloteksta"/>
        <w:spacing w:line="240" w:lineRule="auto"/>
        <w:ind w:firstLine="0"/>
        <w:jc w:val="center"/>
      </w:pPr>
    </w:p>
    <w:p w:rsidR="00AC3905" w:rsidRPr="00A12B5C" w:rsidRDefault="00AC3905" w:rsidP="009554E4">
      <w:pPr>
        <w:pStyle w:val="Uvuenotijeloteksta"/>
        <w:spacing w:line="240" w:lineRule="auto"/>
        <w:ind w:firstLine="0"/>
        <w:jc w:val="center"/>
      </w:pPr>
    </w:p>
    <w:p w:rsidR="009554E4" w:rsidRPr="00A12B5C" w:rsidRDefault="009554E4" w:rsidP="009554E4">
      <w:pPr>
        <w:pStyle w:val="Uvuenotijeloteksta"/>
        <w:spacing w:line="240" w:lineRule="auto"/>
        <w:ind w:firstLine="0"/>
        <w:jc w:val="center"/>
      </w:pPr>
      <w:r w:rsidRPr="00A12B5C">
        <w:rPr>
          <w:noProof/>
          <w:lang w:eastAsia="hr-HR"/>
        </w:rPr>
        <w:drawing>
          <wp:inline distT="0" distB="0" distL="0" distR="0">
            <wp:extent cx="4315012" cy="2073836"/>
            <wp:effectExtent l="0" t="0" r="0" b="317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54E4" w:rsidRPr="00A12B5C" w:rsidRDefault="009554E4" w:rsidP="009554E4">
      <w:pPr>
        <w:jc w:val="center"/>
        <w:rPr>
          <w:sz w:val="20"/>
          <w:szCs w:val="20"/>
        </w:rPr>
      </w:pPr>
      <w:r w:rsidRPr="00A12B5C">
        <w:rPr>
          <w:sz w:val="20"/>
          <w:szCs w:val="20"/>
        </w:rPr>
        <w:t xml:space="preserve">Graf </w:t>
      </w:r>
      <w:r w:rsidR="00A832B5" w:rsidRPr="00A12B5C">
        <w:rPr>
          <w:sz w:val="20"/>
          <w:szCs w:val="20"/>
        </w:rPr>
        <w:t>5</w:t>
      </w:r>
      <w:r w:rsidRPr="00A12B5C">
        <w:rPr>
          <w:sz w:val="20"/>
          <w:szCs w:val="20"/>
        </w:rPr>
        <w:t>. Struktura ostvarenih neporeznih prihoda Proračuna Županije Posavske u 201</w:t>
      </w:r>
      <w:r w:rsidR="00965FC9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p w:rsidR="00BA16A3" w:rsidRPr="00A12B5C" w:rsidRDefault="00BA16A3" w:rsidP="009554E4">
      <w:pPr>
        <w:pStyle w:val="Uvuenotijeloteksta"/>
        <w:spacing w:line="240" w:lineRule="auto"/>
        <w:ind w:firstLine="0"/>
        <w:jc w:val="center"/>
      </w:pPr>
    </w:p>
    <w:p w:rsidR="009554E4" w:rsidRPr="00A12B5C" w:rsidRDefault="00A36A0D" w:rsidP="009554E4">
      <w:pPr>
        <w:pStyle w:val="Uvuenotijeloteksta"/>
        <w:spacing w:line="240" w:lineRule="auto"/>
        <w:ind w:firstLine="0"/>
      </w:pPr>
      <w:r w:rsidRPr="00A12B5C">
        <w:rPr>
          <w:b/>
        </w:rPr>
        <w:t>Prihodi od poduzetničkih</w:t>
      </w:r>
      <w:r w:rsidR="009554E4" w:rsidRPr="00A12B5C">
        <w:rPr>
          <w:b/>
        </w:rPr>
        <w:t xml:space="preserve"> aktivnosti i imovine i prihodi od pozitivnih tečajnih razlika (potkategorija 721000)</w:t>
      </w:r>
      <w:r w:rsidR="009554E4" w:rsidRPr="00A12B5C">
        <w:t xml:space="preserve"> ostvareni su u visini od </w:t>
      </w:r>
      <w:r w:rsidR="00965FC9">
        <w:t>94.010</w:t>
      </w:r>
      <w:r w:rsidR="009554E4" w:rsidRPr="00A12B5C">
        <w:t xml:space="preserve"> KM ili </w:t>
      </w:r>
      <w:r w:rsidR="00965FC9">
        <w:t>134,90</w:t>
      </w:r>
      <w:r w:rsidR="009554E4" w:rsidRPr="00A12B5C">
        <w:t>% ukupno planiranih prihoda po ovoj osnovi u fiskalnoj 201</w:t>
      </w:r>
      <w:r w:rsidR="00965FC9">
        <w:t>9</w:t>
      </w:r>
      <w:r w:rsidR="009554E4" w:rsidRPr="00A12B5C">
        <w:t>. godini</w:t>
      </w:r>
      <w:r w:rsidR="009B2F19" w:rsidRPr="00A12B5C">
        <w:t xml:space="preserve"> (</w:t>
      </w:r>
      <w:r w:rsidR="00965FC9">
        <w:t>24.320</w:t>
      </w:r>
      <w:r w:rsidR="009B2F19" w:rsidRPr="00A12B5C">
        <w:t xml:space="preserve"> KM </w:t>
      </w:r>
      <w:r w:rsidR="008506B6" w:rsidRPr="00A12B5C">
        <w:t>više</w:t>
      </w:r>
      <w:r w:rsidR="009B2F19" w:rsidRPr="00A12B5C">
        <w:t>)</w:t>
      </w:r>
      <w:r w:rsidR="009554E4" w:rsidRPr="00A12B5C">
        <w:t>.</w:t>
      </w:r>
      <w:r w:rsidR="004D0C5E" w:rsidRPr="00A12B5C">
        <w:t xml:space="preserve"> </w:t>
      </w:r>
      <w:r w:rsidR="009B2F19" w:rsidRPr="00A12B5C">
        <w:t>R</w:t>
      </w:r>
      <w:r w:rsidR="004D0C5E" w:rsidRPr="00A12B5C">
        <w:t>azlika</w:t>
      </w:r>
      <w:r w:rsidR="009C0A69" w:rsidRPr="00A12B5C">
        <w:t xml:space="preserve"> od plana</w:t>
      </w:r>
      <w:r w:rsidR="004D0C5E" w:rsidRPr="00A12B5C">
        <w:t xml:space="preserve"> </w:t>
      </w:r>
      <w:r w:rsidR="00603D2E" w:rsidRPr="00A12B5C">
        <w:t>se odnosi na prihod</w:t>
      </w:r>
      <w:r w:rsidR="00392CCB" w:rsidRPr="00A12B5C">
        <w:t>e</w:t>
      </w:r>
      <w:r w:rsidR="004D0C5E" w:rsidRPr="00A12B5C">
        <w:t xml:space="preserve"> od iznajmljivanja zemljišta (analitički konto 721121) koje na osnovi ugovora o davanju u zakup zemljišta </w:t>
      </w:r>
      <w:r w:rsidR="00603D2E" w:rsidRPr="00A12B5C">
        <w:t xml:space="preserve">od 2014. godine </w:t>
      </w:r>
      <w:r w:rsidR="004D0C5E" w:rsidRPr="00A12B5C">
        <w:t>prikuplja Ministarstvo poljoprivrede, vodoprivrede i šumarstva Županije Posavske.</w:t>
      </w:r>
      <w:r w:rsidRPr="00A12B5C">
        <w:t xml:space="preserve"> U 201</w:t>
      </w:r>
      <w:r w:rsidR="00965FC9">
        <w:t>9</w:t>
      </w:r>
      <w:r w:rsidRPr="00A12B5C">
        <w:t>. godin</w:t>
      </w:r>
      <w:r w:rsidR="009B2F19" w:rsidRPr="00A12B5C">
        <w:t>i</w:t>
      </w:r>
      <w:r w:rsidRPr="00A12B5C">
        <w:t xml:space="preserve"> </w:t>
      </w:r>
      <w:r w:rsidR="00640FDF" w:rsidRPr="00A12B5C">
        <w:t xml:space="preserve">je na ovoj poziciji, </w:t>
      </w:r>
      <w:r w:rsidR="003068AD" w:rsidRPr="00A12B5C">
        <w:t>temeljem</w:t>
      </w:r>
      <w:r w:rsidR="00640FDF" w:rsidRPr="00A12B5C">
        <w:t xml:space="preserve"> naplat</w:t>
      </w:r>
      <w:r w:rsidR="003068AD" w:rsidRPr="00A12B5C">
        <w:t>a</w:t>
      </w:r>
      <w:r w:rsidR="00640FDF" w:rsidRPr="00A12B5C">
        <w:t xml:space="preserve"> po sklopljenim ugovorima,</w:t>
      </w:r>
      <w:r w:rsidR="009C0A69" w:rsidRPr="00A12B5C">
        <w:t xml:space="preserve"> </w:t>
      </w:r>
      <w:r w:rsidR="00640FDF" w:rsidRPr="00A12B5C">
        <w:t>realiziran</w:t>
      </w:r>
      <w:r w:rsidR="009C0A69" w:rsidRPr="00A12B5C">
        <w:t xml:space="preserve"> </w:t>
      </w:r>
      <w:r w:rsidR="00640FDF" w:rsidRPr="00A12B5C">
        <w:t xml:space="preserve">i </w:t>
      </w:r>
      <w:proofErr w:type="spellStart"/>
      <w:r w:rsidR="00640FDF" w:rsidRPr="00A12B5C">
        <w:t>oprihodovan</w:t>
      </w:r>
      <w:proofErr w:type="spellEnd"/>
      <w:r w:rsidR="00640FDF" w:rsidRPr="00A12B5C">
        <w:t xml:space="preserve"> </w:t>
      </w:r>
      <w:r w:rsidR="009C0A69" w:rsidRPr="00A12B5C">
        <w:t xml:space="preserve">iznos od </w:t>
      </w:r>
      <w:r w:rsidR="00965FC9">
        <w:t>78.657</w:t>
      </w:r>
      <w:r w:rsidR="009C0A69" w:rsidRPr="00A12B5C">
        <w:t xml:space="preserve"> KM, na račun namjenske </w:t>
      </w:r>
      <w:r w:rsidR="009C0A69" w:rsidRPr="00A12B5C">
        <w:lastRenderedPageBreak/>
        <w:t>potrošnje pri Ministarstvu poljoprivrede, vodoprivrede i šumarstva, pozicija 614500 – Grant za uređenje poljoprivrednog zemljišta</w:t>
      </w:r>
      <w:r w:rsidRPr="00A12B5C">
        <w:t>.</w:t>
      </w:r>
      <w:r w:rsidR="00B232BA" w:rsidRPr="00A12B5C">
        <w:t xml:space="preserve"> </w:t>
      </w:r>
      <w:r w:rsidR="00640FDF" w:rsidRPr="00A12B5C">
        <w:t>O</w:t>
      </w:r>
      <w:r w:rsidR="00392CCB" w:rsidRPr="00A12B5C">
        <w:t>stali prihodi od imovine</w:t>
      </w:r>
      <w:r w:rsidR="00640FDF" w:rsidRPr="00A12B5C">
        <w:t xml:space="preserve"> (glavna grupa 721200)  također su ostvareni u većem iznosu od planiranog</w:t>
      </w:r>
      <w:r w:rsidR="009C0A69" w:rsidRPr="00A12B5C">
        <w:t>,</w:t>
      </w:r>
      <w:r w:rsidR="000D30C0" w:rsidRPr="00A12B5C">
        <w:t xml:space="preserve"> uslijed veće realizacije prihoda od zakupa korištenja sportsko-gospodarskih lovišta, također pri Ministarstvu poljoprivrede, vodoprivrede i šumarstva. Ostvarenje ostalih prihoda iz</w:t>
      </w:r>
      <w:r w:rsidR="008437B9" w:rsidRPr="00A12B5C">
        <w:t xml:space="preserve"> ove skupine je na razini plani</w:t>
      </w:r>
      <w:r w:rsidR="000D30C0" w:rsidRPr="00A12B5C">
        <w:t xml:space="preserve">ranog ili nešto manje, što je obzirom na njihovu veličinu zanemarivo. </w:t>
      </w:r>
      <w:r w:rsidR="00640FDF" w:rsidRPr="00A12B5C">
        <w:t>U odnosu na ostvarenje ove skupine prihoda u 201</w:t>
      </w:r>
      <w:r w:rsidR="00965FC9">
        <w:t>8</w:t>
      </w:r>
      <w:r w:rsidR="00640FDF" w:rsidRPr="00A12B5C">
        <w:t xml:space="preserve">. godini uočava se </w:t>
      </w:r>
      <w:r w:rsidR="00965FC9">
        <w:t>smanjenje</w:t>
      </w:r>
      <w:r w:rsidR="00640FDF" w:rsidRPr="00A12B5C">
        <w:t xml:space="preserve"> od </w:t>
      </w:r>
      <w:r w:rsidR="00965FC9">
        <w:t>25,63</w:t>
      </w:r>
      <w:r w:rsidR="00640FDF" w:rsidRPr="00A12B5C">
        <w:t xml:space="preserve">%, odnosno u apsolutnom </w:t>
      </w:r>
      <w:r w:rsidR="00A12B5C" w:rsidRPr="00A12B5C">
        <w:t>iznosu</w:t>
      </w:r>
      <w:r w:rsidR="00640FDF" w:rsidRPr="00A12B5C">
        <w:t xml:space="preserve"> </w:t>
      </w:r>
      <w:r w:rsidR="00965FC9">
        <w:t>smanjenje</w:t>
      </w:r>
      <w:r w:rsidR="00640FDF" w:rsidRPr="00A12B5C">
        <w:t xml:space="preserve"> za </w:t>
      </w:r>
      <w:r w:rsidR="00965FC9">
        <w:t>32.394</w:t>
      </w:r>
      <w:r w:rsidR="00640FDF" w:rsidRPr="00A12B5C">
        <w:t xml:space="preserve"> KM</w:t>
      </w:r>
      <w:r w:rsidR="00965FC9">
        <w:t>, uslijed manjeg iznosa ostvarenih prihoda od iznajmljivanja zemljišta (32.610 KM manje nego u 2018. godini).</w:t>
      </w:r>
      <w:r w:rsidR="009C0A69" w:rsidRPr="00A12B5C">
        <w:t xml:space="preserve"> </w:t>
      </w:r>
      <w:r w:rsidR="000D30C0" w:rsidRPr="00A12B5C">
        <w:t>Promatrano u cijelosti, najveći dio prihoda od poduzetničkih aktivnosti i imovine i prihoda od pozitivnih tečajnih razlika ostvaruje se u Ministarstvu poljoprivrede, vodoprivrede i šumarstva (99,</w:t>
      </w:r>
      <w:r w:rsidR="00965FC9">
        <w:t>04</w:t>
      </w:r>
      <w:r w:rsidR="000D30C0" w:rsidRPr="00A12B5C">
        <w:t>%) na temelju iznajmljivanja zemljišta, davanja u zakup sportsko-gospodarskih lovišta i javnog vodnog dobra na površinskim vodama I.kategorije.</w:t>
      </w:r>
    </w:p>
    <w:p w:rsidR="00BA16A3" w:rsidRPr="00A12B5C" w:rsidRDefault="00BA16A3" w:rsidP="009554E4">
      <w:pPr>
        <w:pStyle w:val="Uvuenotijeloteksta"/>
        <w:spacing w:line="240" w:lineRule="auto"/>
      </w:pPr>
    </w:p>
    <w:p w:rsidR="00957836" w:rsidRPr="00A12B5C" w:rsidRDefault="009554E4" w:rsidP="009554E4">
      <w:pPr>
        <w:pStyle w:val="Uvuenotijeloteksta"/>
        <w:spacing w:line="240" w:lineRule="auto"/>
        <w:ind w:firstLine="0"/>
      </w:pPr>
      <w:r w:rsidRPr="00A12B5C">
        <w:rPr>
          <w:b/>
        </w:rPr>
        <w:t>Prihodi po osnovi naknada i pristojbi i prihodi od pružanja javnih usluga (potkategorija 722000)</w:t>
      </w:r>
      <w:r w:rsidRPr="00A12B5C">
        <w:t xml:space="preserve"> ostvareni su u visini od </w:t>
      </w:r>
      <w:r w:rsidR="00965FC9">
        <w:t>2.102.582</w:t>
      </w:r>
      <w:r w:rsidRPr="00A12B5C">
        <w:t xml:space="preserve"> KM, odnosno </w:t>
      </w:r>
      <w:r w:rsidR="00965FC9">
        <w:t>103,86</w:t>
      </w:r>
      <w:r w:rsidRPr="00A12B5C">
        <w:t>% ukupno planiranih prihoda po ovoj namjeni</w:t>
      </w:r>
      <w:r w:rsidR="00640FDF" w:rsidRPr="00A12B5C">
        <w:t xml:space="preserve">, ili za </w:t>
      </w:r>
      <w:r w:rsidR="00965FC9">
        <w:t>78.122</w:t>
      </w:r>
      <w:r w:rsidR="00640FDF" w:rsidRPr="00A12B5C">
        <w:t xml:space="preserve"> KM </w:t>
      </w:r>
      <w:r w:rsidR="00965FC9">
        <w:t>više od plana</w:t>
      </w:r>
      <w:r w:rsidR="00640FDF" w:rsidRPr="00A12B5C">
        <w:t>.</w:t>
      </w:r>
      <w:r w:rsidRPr="00A12B5C">
        <w:t xml:space="preserve"> U odnosu na fiskaln</w:t>
      </w:r>
      <w:r w:rsidR="009B2F19" w:rsidRPr="00A12B5C">
        <w:t>u</w:t>
      </w:r>
      <w:r w:rsidRPr="00A12B5C">
        <w:t xml:space="preserve"> 201</w:t>
      </w:r>
      <w:r w:rsidR="00965FC9">
        <w:t>8</w:t>
      </w:r>
      <w:r w:rsidRPr="00A12B5C">
        <w:t>.godin</w:t>
      </w:r>
      <w:r w:rsidR="009B2F19" w:rsidRPr="00A12B5C">
        <w:t>u</w:t>
      </w:r>
      <w:r w:rsidRPr="00A12B5C">
        <w:t xml:space="preserve">, prihodi po osnovi naknada i pristojbi i prihodi od pružanja javnih usluga </w:t>
      </w:r>
      <w:r w:rsidR="000D30C0" w:rsidRPr="00A12B5C">
        <w:t>veći</w:t>
      </w:r>
      <w:r w:rsidRPr="00A12B5C">
        <w:t xml:space="preserve"> su za </w:t>
      </w:r>
      <w:r w:rsidR="00965FC9">
        <w:t>2,05</w:t>
      </w:r>
      <w:r w:rsidRPr="00A12B5C">
        <w:t>%</w:t>
      </w:r>
      <w:r w:rsidR="00371295" w:rsidRPr="00A12B5C">
        <w:t>,</w:t>
      </w:r>
      <w:r w:rsidRPr="00A12B5C">
        <w:t xml:space="preserve"> odnosno u apsolutnom iznosu </w:t>
      </w:r>
      <w:r w:rsidR="000D30C0" w:rsidRPr="00A12B5C">
        <w:t>veći</w:t>
      </w:r>
      <w:r w:rsidRPr="00A12B5C">
        <w:t xml:space="preserve"> za </w:t>
      </w:r>
      <w:r w:rsidR="00965FC9">
        <w:t>42.252</w:t>
      </w:r>
      <w:r w:rsidRPr="00A12B5C">
        <w:t xml:space="preserve"> KM. </w:t>
      </w:r>
    </w:p>
    <w:p w:rsidR="00957836" w:rsidRPr="00A12B5C" w:rsidRDefault="00957836" w:rsidP="009554E4">
      <w:pPr>
        <w:pStyle w:val="Uvuenotijeloteksta"/>
        <w:spacing w:line="240" w:lineRule="auto"/>
        <w:ind w:firstLine="0"/>
      </w:pPr>
    </w:p>
    <w:p w:rsidR="009554E4" w:rsidRPr="00A12B5C" w:rsidRDefault="009554E4" w:rsidP="009554E4">
      <w:pPr>
        <w:pStyle w:val="Uvuenotijeloteksta"/>
        <w:spacing w:line="240" w:lineRule="auto"/>
        <w:ind w:firstLine="0"/>
      </w:pPr>
      <w:r w:rsidRPr="00A12B5C">
        <w:t>Slijedi tablični i grafički prikaz strukture ostvarenih prihoda po osnovi naknada i pristojbi i prihoda od pružanja javnih usluga.</w:t>
      </w:r>
    </w:p>
    <w:p w:rsidR="00BA16A3" w:rsidRPr="00A12B5C" w:rsidRDefault="00BA16A3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554E4" w:rsidRPr="00A12B5C" w:rsidRDefault="009554E4" w:rsidP="009554E4">
      <w:pPr>
        <w:jc w:val="both"/>
        <w:rPr>
          <w:sz w:val="20"/>
          <w:szCs w:val="20"/>
        </w:rPr>
      </w:pPr>
      <w:r w:rsidRPr="00A12B5C">
        <w:rPr>
          <w:sz w:val="20"/>
          <w:szCs w:val="20"/>
        </w:rPr>
        <w:t xml:space="preserve">Tablica </w:t>
      </w:r>
      <w:r w:rsidR="00A832B5" w:rsidRPr="00A12B5C">
        <w:rPr>
          <w:sz w:val="20"/>
          <w:szCs w:val="20"/>
        </w:rPr>
        <w:t>5</w:t>
      </w:r>
      <w:r w:rsidRPr="00A12B5C">
        <w:rPr>
          <w:sz w:val="20"/>
          <w:szCs w:val="20"/>
        </w:rPr>
        <w:t xml:space="preserve">. Struktura ostvarenih prihoda od naknada i pristojbi i prihoda od pružanja javnih usluga Proračuna </w:t>
      </w:r>
      <w:proofErr w:type="spellStart"/>
      <w:r w:rsidRPr="00A12B5C">
        <w:rPr>
          <w:sz w:val="20"/>
          <w:szCs w:val="20"/>
        </w:rPr>
        <w:t>Žup.Posavske</w:t>
      </w:r>
      <w:proofErr w:type="spellEnd"/>
      <w:r w:rsidRPr="00A12B5C">
        <w:rPr>
          <w:sz w:val="20"/>
          <w:szCs w:val="20"/>
        </w:rPr>
        <w:t xml:space="preserve"> u 201</w:t>
      </w:r>
      <w:r w:rsidR="00215E1C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A12B5C" w:rsidTr="00612567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A12B5C" w:rsidRDefault="009554E4" w:rsidP="00612567">
            <w:pPr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54E4" w:rsidRPr="00A12B5C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Ostvareno</w:t>
            </w:r>
          </w:p>
          <w:p w:rsidR="009554E4" w:rsidRPr="00A12B5C" w:rsidRDefault="009554E4" w:rsidP="00215E1C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201</w:t>
            </w:r>
            <w:r w:rsidR="00215E1C">
              <w:rPr>
                <w:b/>
                <w:sz w:val="22"/>
              </w:rPr>
              <w:t>9</w:t>
            </w:r>
            <w:r w:rsidRPr="00A12B5C">
              <w:rPr>
                <w:b/>
                <w:sz w:val="22"/>
              </w:rPr>
              <w:t>.g. (u KM)</w:t>
            </w:r>
          </w:p>
        </w:tc>
        <w:tc>
          <w:tcPr>
            <w:tcW w:w="1242" w:type="dxa"/>
          </w:tcPr>
          <w:p w:rsidR="009554E4" w:rsidRPr="00A12B5C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 xml:space="preserve">% </w:t>
            </w:r>
          </w:p>
          <w:p w:rsidR="009554E4" w:rsidRPr="00A12B5C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učešća</w:t>
            </w:r>
          </w:p>
        </w:tc>
      </w:tr>
      <w:tr w:rsidR="009554E4" w:rsidRPr="00A12B5C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2B5C" w:rsidRDefault="00B232BA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Administrativne pristojbe</w:t>
            </w:r>
          </w:p>
        </w:tc>
        <w:tc>
          <w:tcPr>
            <w:tcW w:w="2409" w:type="dxa"/>
            <w:vAlign w:val="center"/>
          </w:tcPr>
          <w:p w:rsidR="009554E4" w:rsidRPr="00A12B5C" w:rsidRDefault="00215E1C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111.116</w:t>
            </w:r>
          </w:p>
        </w:tc>
        <w:tc>
          <w:tcPr>
            <w:tcW w:w="1242" w:type="dxa"/>
            <w:vAlign w:val="center"/>
          </w:tcPr>
          <w:p w:rsidR="009554E4" w:rsidRPr="00A12B5C" w:rsidRDefault="00215E1C" w:rsidP="006763BC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5,28</w:t>
            </w:r>
          </w:p>
        </w:tc>
      </w:tr>
      <w:tr w:rsidR="009554E4" w:rsidRPr="00A12B5C" w:rsidTr="00612567">
        <w:tc>
          <w:tcPr>
            <w:cnfStyle w:val="001000000000"/>
            <w:tcW w:w="5637" w:type="dxa"/>
          </w:tcPr>
          <w:p w:rsidR="009554E4" w:rsidRPr="00A12B5C" w:rsidRDefault="00B232BA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Sudske pristojbe</w:t>
            </w:r>
          </w:p>
        </w:tc>
        <w:tc>
          <w:tcPr>
            <w:tcW w:w="2409" w:type="dxa"/>
            <w:vAlign w:val="center"/>
          </w:tcPr>
          <w:p w:rsidR="009554E4" w:rsidRPr="00A12B5C" w:rsidRDefault="00215E1C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398.853</w:t>
            </w:r>
          </w:p>
        </w:tc>
        <w:tc>
          <w:tcPr>
            <w:tcW w:w="1242" w:type="dxa"/>
            <w:vAlign w:val="center"/>
          </w:tcPr>
          <w:p w:rsidR="009554E4" w:rsidRPr="00A12B5C" w:rsidRDefault="00215E1C" w:rsidP="0061256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18,97</w:t>
            </w:r>
          </w:p>
        </w:tc>
      </w:tr>
      <w:tr w:rsidR="009554E4" w:rsidRPr="00A12B5C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2B5C" w:rsidRDefault="00B232BA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Ostale proračunske naknade</w:t>
            </w:r>
          </w:p>
        </w:tc>
        <w:tc>
          <w:tcPr>
            <w:tcW w:w="2409" w:type="dxa"/>
            <w:vAlign w:val="center"/>
          </w:tcPr>
          <w:p w:rsidR="009554E4" w:rsidRPr="00A12B5C" w:rsidRDefault="00215E1C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325.818</w:t>
            </w:r>
          </w:p>
        </w:tc>
        <w:tc>
          <w:tcPr>
            <w:tcW w:w="1242" w:type="dxa"/>
            <w:vAlign w:val="center"/>
          </w:tcPr>
          <w:p w:rsidR="009554E4" w:rsidRPr="00A12B5C" w:rsidRDefault="00215E1C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15,50</w:t>
            </w:r>
          </w:p>
        </w:tc>
      </w:tr>
      <w:tr w:rsidR="00B232BA" w:rsidRPr="00A12B5C" w:rsidTr="00612567">
        <w:tc>
          <w:tcPr>
            <w:cnfStyle w:val="001000000000"/>
            <w:tcW w:w="5637" w:type="dxa"/>
          </w:tcPr>
          <w:p w:rsidR="00B232BA" w:rsidRPr="00A12B5C" w:rsidRDefault="00B232BA" w:rsidP="00B232BA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Naknade i pristojbe po Fed.zakonima i drugim propisima</w:t>
            </w:r>
          </w:p>
        </w:tc>
        <w:tc>
          <w:tcPr>
            <w:tcW w:w="2409" w:type="dxa"/>
            <w:vAlign w:val="center"/>
          </w:tcPr>
          <w:p w:rsidR="00B232BA" w:rsidRPr="00A12B5C" w:rsidRDefault="00215E1C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831.590</w:t>
            </w:r>
          </w:p>
        </w:tc>
        <w:tc>
          <w:tcPr>
            <w:tcW w:w="1242" w:type="dxa"/>
            <w:vAlign w:val="center"/>
          </w:tcPr>
          <w:p w:rsidR="00B232BA" w:rsidRPr="00A12B5C" w:rsidRDefault="00215E1C" w:rsidP="0061256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39,55</w:t>
            </w:r>
          </w:p>
        </w:tc>
      </w:tr>
      <w:tr w:rsidR="00B232BA" w:rsidRPr="00A12B5C" w:rsidTr="00612567">
        <w:trPr>
          <w:cnfStyle w:val="000000100000"/>
        </w:trPr>
        <w:tc>
          <w:tcPr>
            <w:cnfStyle w:val="001000000000"/>
            <w:tcW w:w="5637" w:type="dxa"/>
          </w:tcPr>
          <w:p w:rsidR="00B232BA" w:rsidRPr="00A12B5C" w:rsidRDefault="00B232BA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Prihodi od pružanja javnih usluga</w:t>
            </w:r>
          </w:p>
        </w:tc>
        <w:tc>
          <w:tcPr>
            <w:tcW w:w="2409" w:type="dxa"/>
            <w:vAlign w:val="center"/>
          </w:tcPr>
          <w:p w:rsidR="00B232BA" w:rsidRPr="00A12B5C" w:rsidRDefault="00215E1C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397.608</w:t>
            </w:r>
          </w:p>
        </w:tc>
        <w:tc>
          <w:tcPr>
            <w:tcW w:w="1242" w:type="dxa"/>
            <w:vAlign w:val="center"/>
          </w:tcPr>
          <w:p w:rsidR="00B232BA" w:rsidRPr="00A12B5C" w:rsidRDefault="00215E1C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18,91</w:t>
            </w:r>
          </w:p>
        </w:tc>
      </w:tr>
      <w:tr w:rsidR="00B232BA" w:rsidRPr="00A12B5C" w:rsidTr="00612567">
        <w:tc>
          <w:tcPr>
            <w:cnfStyle w:val="001000000000"/>
            <w:tcW w:w="5637" w:type="dxa"/>
          </w:tcPr>
          <w:p w:rsidR="00B232BA" w:rsidRPr="00A12B5C" w:rsidRDefault="00B232BA" w:rsidP="0061256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Neplanirane uplate - prihodi</w:t>
            </w:r>
          </w:p>
        </w:tc>
        <w:tc>
          <w:tcPr>
            <w:tcW w:w="2409" w:type="dxa"/>
            <w:vAlign w:val="center"/>
          </w:tcPr>
          <w:p w:rsidR="00B232BA" w:rsidRPr="00A12B5C" w:rsidRDefault="00215E1C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37.597</w:t>
            </w:r>
          </w:p>
        </w:tc>
        <w:tc>
          <w:tcPr>
            <w:tcW w:w="1242" w:type="dxa"/>
            <w:vAlign w:val="center"/>
          </w:tcPr>
          <w:p w:rsidR="00B232BA" w:rsidRPr="00A12B5C" w:rsidRDefault="00215E1C" w:rsidP="0061256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1,79</w:t>
            </w:r>
          </w:p>
        </w:tc>
      </w:tr>
      <w:tr w:rsidR="009554E4" w:rsidRPr="00A12B5C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2B5C" w:rsidRDefault="009554E4" w:rsidP="00612567">
            <w:pPr>
              <w:jc w:val="both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9554E4" w:rsidRPr="00A12B5C" w:rsidRDefault="00F2547B" w:rsidP="00612567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215E1C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215E1C">
              <w:rPr>
                <w:b/>
                <w:noProof/>
                <w:sz w:val="22"/>
              </w:rPr>
              <w:t>2.102.582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A12B5C" w:rsidRDefault="00F2547B" w:rsidP="00612567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215E1C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215E1C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215E1C">
              <w:rPr>
                <w:b/>
                <w:sz w:val="22"/>
              </w:rPr>
              <w:t>,00</w:t>
            </w:r>
          </w:p>
        </w:tc>
      </w:tr>
    </w:tbl>
    <w:p w:rsidR="009554E4" w:rsidRPr="00A12B5C" w:rsidRDefault="009554E4" w:rsidP="00255AC1">
      <w:pPr>
        <w:pStyle w:val="Uvuenotijeloteksta"/>
        <w:spacing w:line="240" w:lineRule="auto"/>
        <w:ind w:firstLine="0"/>
        <w:rPr>
          <w:sz w:val="20"/>
          <w:szCs w:val="20"/>
        </w:rPr>
      </w:pPr>
      <w:r w:rsidRPr="00A12B5C">
        <w:rPr>
          <w:noProof/>
          <w:lang w:eastAsia="hr-HR"/>
        </w:rPr>
        <w:drawing>
          <wp:inline distT="0" distB="0" distL="0" distR="0">
            <wp:extent cx="5576047" cy="2014070"/>
            <wp:effectExtent l="0" t="0" r="5715" b="57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A12B5C">
        <w:rPr>
          <w:sz w:val="20"/>
          <w:szCs w:val="20"/>
        </w:rPr>
        <w:t xml:space="preserve">Graf </w:t>
      </w:r>
      <w:r w:rsidR="00A832B5" w:rsidRPr="00A12B5C">
        <w:rPr>
          <w:sz w:val="20"/>
          <w:szCs w:val="20"/>
        </w:rPr>
        <w:t>6</w:t>
      </w:r>
      <w:r w:rsidRPr="00A12B5C">
        <w:rPr>
          <w:sz w:val="20"/>
          <w:szCs w:val="20"/>
        </w:rPr>
        <w:t>. Struktura ostvarenih prihoda od naknada i pristojbi i prihoda od pružanja javnih usluga Proračuna Županije Posavske u 201</w:t>
      </w:r>
      <w:r w:rsidR="00215E1C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p w:rsidR="009D4BD9" w:rsidRPr="00A12B5C" w:rsidRDefault="009D4BD9" w:rsidP="009554E4">
      <w:pPr>
        <w:pStyle w:val="Uvuenotijeloteksta"/>
        <w:spacing w:line="240" w:lineRule="auto"/>
        <w:ind w:firstLine="0"/>
      </w:pPr>
    </w:p>
    <w:p w:rsidR="009D4BD9" w:rsidRPr="00A12B5C" w:rsidRDefault="009D4BD9" w:rsidP="009554E4">
      <w:pPr>
        <w:pStyle w:val="Uvuenotijeloteksta"/>
        <w:spacing w:line="240" w:lineRule="auto"/>
        <w:ind w:firstLine="0"/>
      </w:pPr>
      <w:r w:rsidRPr="00A12B5C">
        <w:rPr>
          <w:b/>
          <w:i/>
        </w:rPr>
        <w:t>Administrativne pristojbe (glavna skupina 722100)</w:t>
      </w:r>
      <w:r w:rsidRPr="00A12B5C">
        <w:t xml:space="preserve"> ostvarene su u iznosu od </w:t>
      </w:r>
      <w:r w:rsidR="00215E1C">
        <w:t>111.116</w:t>
      </w:r>
      <w:r w:rsidRPr="00A12B5C">
        <w:t xml:space="preserve"> KM odnosno </w:t>
      </w:r>
      <w:r w:rsidR="00215E1C">
        <w:t>97,74</w:t>
      </w:r>
      <w:r w:rsidRPr="00A12B5C">
        <w:t>% od planiranog</w:t>
      </w:r>
      <w:r w:rsidR="007D697C" w:rsidRPr="00A12B5C">
        <w:t xml:space="preserve"> ili </w:t>
      </w:r>
      <w:r w:rsidR="00215E1C">
        <w:t>2.574</w:t>
      </w:r>
      <w:r w:rsidR="007D697C" w:rsidRPr="00A12B5C">
        <w:t xml:space="preserve"> KM </w:t>
      </w:r>
      <w:r w:rsidR="004136DC" w:rsidRPr="00A12B5C">
        <w:t>manje</w:t>
      </w:r>
      <w:r w:rsidR="007D697C" w:rsidRPr="00A12B5C">
        <w:t xml:space="preserve"> od plana</w:t>
      </w:r>
      <w:r w:rsidRPr="00A12B5C">
        <w:t>.</w:t>
      </w:r>
      <w:r w:rsidR="00DF2981" w:rsidRPr="00A12B5C">
        <w:t xml:space="preserve"> </w:t>
      </w:r>
      <w:r w:rsidR="00032706" w:rsidRPr="00A12B5C">
        <w:t xml:space="preserve">U odnosu </w:t>
      </w:r>
      <w:r w:rsidR="004136DC" w:rsidRPr="00A12B5C">
        <w:t xml:space="preserve">na </w:t>
      </w:r>
      <w:r w:rsidR="00032706" w:rsidRPr="00A12B5C">
        <w:t>201</w:t>
      </w:r>
      <w:r w:rsidR="00215E1C">
        <w:t>8</w:t>
      </w:r>
      <w:r w:rsidR="00032706" w:rsidRPr="00A12B5C">
        <w:t>. godin</w:t>
      </w:r>
      <w:r w:rsidR="007D697C" w:rsidRPr="00A12B5C">
        <w:t>u</w:t>
      </w:r>
      <w:r w:rsidR="00032706" w:rsidRPr="00A12B5C">
        <w:t xml:space="preserve"> uočava se </w:t>
      </w:r>
      <w:r w:rsidR="002D7FA6" w:rsidRPr="00A12B5C">
        <w:t>smanjenje</w:t>
      </w:r>
      <w:r w:rsidR="00032706" w:rsidRPr="00A12B5C">
        <w:t xml:space="preserve"> od </w:t>
      </w:r>
      <w:r w:rsidR="00215E1C">
        <w:t>5,78</w:t>
      </w:r>
      <w:r w:rsidR="00DF2981" w:rsidRPr="00A12B5C">
        <w:t>%</w:t>
      </w:r>
      <w:r w:rsidR="00032706" w:rsidRPr="00A12B5C">
        <w:t xml:space="preserve"> ili u apsolutnom iznosu </w:t>
      </w:r>
      <w:r w:rsidR="002D7FA6" w:rsidRPr="00A12B5C">
        <w:t>smanjenje</w:t>
      </w:r>
      <w:r w:rsidR="00032706" w:rsidRPr="00A12B5C">
        <w:t xml:space="preserve"> </w:t>
      </w:r>
      <w:r w:rsidR="002D7FA6" w:rsidRPr="00A12B5C">
        <w:t>za</w:t>
      </w:r>
      <w:r w:rsidR="00032706" w:rsidRPr="00A12B5C">
        <w:t xml:space="preserve"> </w:t>
      </w:r>
      <w:r w:rsidR="00215E1C">
        <w:t xml:space="preserve">6.818 </w:t>
      </w:r>
      <w:r w:rsidR="00032706" w:rsidRPr="00A12B5C">
        <w:t>KM.</w:t>
      </w:r>
    </w:p>
    <w:p w:rsidR="00DF2981" w:rsidRPr="00A12B5C" w:rsidRDefault="00DF2981" w:rsidP="009554E4">
      <w:pPr>
        <w:pStyle w:val="Uvuenotijeloteksta"/>
        <w:spacing w:line="240" w:lineRule="auto"/>
        <w:ind w:firstLine="0"/>
      </w:pPr>
    </w:p>
    <w:p w:rsidR="00DF2981" w:rsidRPr="00A12B5C" w:rsidRDefault="00DF2981" w:rsidP="009554E4">
      <w:pPr>
        <w:pStyle w:val="Uvuenotijeloteksta"/>
        <w:spacing w:line="240" w:lineRule="auto"/>
        <w:ind w:firstLine="0"/>
      </w:pPr>
      <w:r w:rsidRPr="00A12B5C">
        <w:rPr>
          <w:b/>
          <w:i/>
        </w:rPr>
        <w:t>Sudske pristojbe (glavna skupina 722200)</w:t>
      </w:r>
      <w:r w:rsidRPr="00A12B5C">
        <w:t xml:space="preserve"> ostvarene su u iznosu od </w:t>
      </w:r>
      <w:r w:rsidR="00215E1C">
        <w:t>398.853</w:t>
      </w:r>
      <w:r w:rsidRPr="00A12B5C">
        <w:t xml:space="preserve"> KM odnosno </w:t>
      </w:r>
      <w:r w:rsidR="00215E1C">
        <w:t>102,19</w:t>
      </w:r>
      <w:r w:rsidRPr="00A12B5C">
        <w:t>% planiranog u 201</w:t>
      </w:r>
      <w:r w:rsidR="00215E1C">
        <w:t>9</w:t>
      </w:r>
      <w:r w:rsidRPr="00A12B5C">
        <w:t>. godini</w:t>
      </w:r>
      <w:r w:rsidR="002D7FA6" w:rsidRPr="00A12B5C">
        <w:t xml:space="preserve"> po ovoj osnovi</w:t>
      </w:r>
      <w:r w:rsidR="007D697C" w:rsidRPr="00A12B5C">
        <w:t xml:space="preserve">, ili u apsolutnom iznosu </w:t>
      </w:r>
      <w:r w:rsidR="00215E1C">
        <w:t>8.563</w:t>
      </w:r>
      <w:r w:rsidR="007D697C" w:rsidRPr="00A12B5C">
        <w:t xml:space="preserve"> KM </w:t>
      </w:r>
      <w:r w:rsidR="00215E1C">
        <w:t>više</w:t>
      </w:r>
      <w:r w:rsidR="007D697C" w:rsidRPr="00A12B5C">
        <w:t xml:space="preserve"> od plana</w:t>
      </w:r>
      <w:r w:rsidRPr="00A12B5C">
        <w:t>. U odnosu na ostvarenje iz 201</w:t>
      </w:r>
      <w:r w:rsidR="00215E1C">
        <w:t>8</w:t>
      </w:r>
      <w:r w:rsidRPr="00A12B5C">
        <w:t xml:space="preserve">. godine došlo je </w:t>
      </w:r>
      <w:r w:rsidR="007615E6" w:rsidRPr="00A12B5C">
        <w:t xml:space="preserve">do </w:t>
      </w:r>
      <w:r w:rsidR="008625AF" w:rsidRPr="00A12B5C">
        <w:t>povećanja</w:t>
      </w:r>
      <w:r w:rsidRPr="00A12B5C">
        <w:t xml:space="preserve"> prihoda od sudskih pristojbi za </w:t>
      </w:r>
      <w:r w:rsidR="00215E1C">
        <w:t>14.037</w:t>
      </w:r>
      <w:r w:rsidR="007615E6" w:rsidRPr="00A12B5C">
        <w:t xml:space="preserve"> </w:t>
      </w:r>
      <w:r w:rsidR="00957836" w:rsidRPr="00A12B5C">
        <w:t xml:space="preserve">KM ili za </w:t>
      </w:r>
      <w:r w:rsidR="00215E1C">
        <w:t>3,65</w:t>
      </w:r>
      <w:r w:rsidR="00957836" w:rsidRPr="00A12B5C">
        <w:t>%.</w:t>
      </w:r>
    </w:p>
    <w:p w:rsidR="00957836" w:rsidRPr="00A12B5C" w:rsidRDefault="00957836" w:rsidP="009554E4">
      <w:pPr>
        <w:pStyle w:val="Uvuenotijeloteksta"/>
        <w:spacing w:line="240" w:lineRule="auto"/>
        <w:ind w:firstLine="0"/>
      </w:pPr>
    </w:p>
    <w:p w:rsidR="00ED530A" w:rsidRDefault="00957836" w:rsidP="00957836">
      <w:pPr>
        <w:pStyle w:val="Uvuenotijeloteksta"/>
        <w:spacing w:line="240" w:lineRule="auto"/>
        <w:ind w:firstLine="0"/>
      </w:pPr>
      <w:r w:rsidRPr="00A12B5C">
        <w:rPr>
          <w:b/>
          <w:i/>
        </w:rPr>
        <w:t>Ostale proračunske naknade (glavna skupina 722400)</w:t>
      </w:r>
      <w:r w:rsidRPr="00A12B5C">
        <w:t xml:space="preserve"> ostvarene su u iznosu od </w:t>
      </w:r>
      <w:r w:rsidR="00215E1C">
        <w:t>325.818</w:t>
      </w:r>
      <w:r w:rsidRPr="00A12B5C">
        <w:t xml:space="preserve"> KM odnosno </w:t>
      </w:r>
      <w:r w:rsidR="00215E1C">
        <w:t>111,47</w:t>
      </w:r>
      <w:r w:rsidR="001504B2" w:rsidRPr="00A12B5C">
        <w:t>%</w:t>
      </w:r>
      <w:r w:rsidRPr="00A12B5C">
        <w:t xml:space="preserve"> ukupnog plana za 201</w:t>
      </w:r>
      <w:r w:rsidR="00215E1C">
        <w:t>9</w:t>
      </w:r>
      <w:r w:rsidRPr="00A12B5C">
        <w:t>. godinu</w:t>
      </w:r>
      <w:r w:rsidR="002D7FA6" w:rsidRPr="00A12B5C">
        <w:t xml:space="preserve"> po toj osnovi</w:t>
      </w:r>
      <w:r w:rsidR="007D697C" w:rsidRPr="00A12B5C">
        <w:t xml:space="preserve">, ili u apsolutnom iznosu </w:t>
      </w:r>
      <w:r w:rsidR="00215E1C">
        <w:t>33.538</w:t>
      </w:r>
      <w:r w:rsidR="007D697C" w:rsidRPr="00A12B5C">
        <w:t xml:space="preserve"> KM </w:t>
      </w:r>
      <w:r w:rsidR="00215E1C">
        <w:t>više</w:t>
      </w:r>
      <w:r w:rsidR="007D697C" w:rsidRPr="00A12B5C">
        <w:t xml:space="preserve"> od plana</w:t>
      </w:r>
      <w:r w:rsidRPr="00A12B5C">
        <w:t xml:space="preserve">. U odnosu na ostvarenje u </w:t>
      </w:r>
      <w:r w:rsidR="007D697C" w:rsidRPr="00A12B5C">
        <w:t>prethodnoj</w:t>
      </w:r>
      <w:r w:rsidRPr="00A12B5C">
        <w:t xml:space="preserve"> godin</w:t>
      </w:r>
      <w:r w:rsidR="007D697C" w:rsidRPr="00A12B5C">
        <w:t>i</w:t>
      </w:r>
      <w:r w:rsidRPr="00A12B5C">
        <w:t xml:space="preserve"> ovdje se radi o </w:t>
      </w:r>
      <w:r w:rsidR="00215E1C">
        <w:t>povećanju</w:t>
      </w:r>
      <w:r w:rsidRPr="00A12B5C">
        <w:t xml:space="preserve"> za </w:t>
      </w:r>
      <w:r w:rsidR="00215E1C">
        <w:t>26,83</w:t>
      </w:r>
      <w:r w:rsidRPr="00A12B5C">
        <w:t>%</w:t>
      </w:r>
      <w:r w:rsidR="00215E1C">
        <w:t>,</w:t>
      </w:r>
      <w:r w:rsidRPr="00A12B5C">
        <w:t xml:space="preserve"> odnosno o </w:t>
      </w:r>
      <w:r w:rsidR="00215E1C">
        <w:t>povećanju</w:t>
      </w:r>
      <w:r w:rsidRPr="00A12B5C">
        <w:t xml:space="preserve"> za </w:t>
      </w:r>
      <w:r w:rsidR="00215E1C">
        <w:t>68.919</w:t>
      </w:r>
      <w:r w:rsidRPr="00A12B5C">
        <w:t xml:space="preserve"> KM.</w:t>
      </w:r>
      <w:r w:rsidR="007615E6" w:rsidRPr="00A12B5C">
        <w:t xml:space="preserve"> </w:t>
      </w:r>
    </w:p>
    <w:p w:rsidR="00ED530A" w:rsidRDefault="00ED530A" w:rsidP="00957836">
      <w:pPr>
        <w:pStyle w:val="Uvuenotijeloteksta"/>
        <w:spacing w:line="240" w:lineRule="auto"/>
        <w:ind w:firstLine="0"/>
      </w:pPr>
    </w:p>
    <w:p w:rsidR="00ED530A" w:rsidRDefault="00215E1C" w:rsidP="00957836">
      <w:pPr>
        <w:pStyle w:val="Uvuenotijeloteksta"/>
        <w:spacing w:line="240" w:lineRule="auto"/>
        <w:ind w:firstLine="0"/>
      </w:pPr>
      <w:r>
        <w:t>U ovoj skupini prihoda je na 31.12.2019. godine izvršeno prihodovanje određenih vrsta prihoda koja su na dan 31.12.2018. godine bila razgraničena</w:t>
      </w:r>
      <w:r w:rsidR="00ED530A">
        <w:t xml:space="preserve"> za namjensku potrošnju u narednim razdobljima. </w:t>
      </w:r>
      <w:r w:rsidR="004C1C42" w:rsidRPr="00A12B5C">
        <w:t>Priznavanje navedenih prihoda usko je vezano uz njihovu n</w:t>
      </w:r>
      <w:r w:rsidR="008F5CD1" w:rsidRPr="00A12B5C">
        <w:t xml:space="preserve">amjensku potrošnju na </w:t>
      </w:r>
      <w:proofErr w:type="spellStart"/>
      <w:r w:rsidR="008F5CD1" w:rsidRPr="00A12B5C">
        <w:t>grantovsk</w:t>
      </w:r>
      <w:r w:rsidR="00ED530A">
        <w:t>im</w:t>
      </w:r>
      <w:proofErr w:type="spellEnd"/>
      <w:r w:rsidR="008F5CD1" w:rsidRPr="00A12B5C">
        <w:t xml:space="preserve"> pozicij</w:t>
      </w:r>
      <w:r w:rsidR="00ED530A">
        <w:t>ama</w:t>
      </w:r>
      <w:r w:rsidR="004C1C42" w:rsidRPr="00A12B5C">
        <w:t xml:space="preserve"> Ministarstva poljoprivrede, vodoprivrede i šumarstva: </w:t>
      </w:r>
      <w:r w:rsidR="00ED530A">
        <w:t xml:space="preserve">614100 – </w:t>
      </w:r>
      <w:proofErr w:type="spellStart"/>
      <w:r w:rsidR="00ED530A">
        <w:t>Grantovi</w:t>
      </w:r>
      <w:proofErr w:type="spellEnd"/>
      <w:r w:rsidR="00ED530A">
        <w:t xml:space="preserve"> za šumarstvo i </w:t>
      </w:r>
      <w:r w:rsidR="004C1C42" w:rsidRPr="00A12B5C">
        <w:t xml:space="preserve">614500 – Grant za uređenje poljoprivrednog zemljišta. </w:t>
      </w:r>
    </w:p>
    <w:p w:rsidR="00ED530A" w:rsidRDefault="00ED530A" w:rsidP="00957836">
      <w:pPr>
        <w:pStyle w:val="Uvuenotijeloteksta"/>
        <w:spacing w:line="240" w:lineRule="auto"/>
        <w:ind w:firstLine="0"/>
      </w:pPr>
    </w:p>
    <w:p w:rsidR="00560CEA" w:rsidRDefault="004C1C42" w:rsidP="00957836">
      <w:pPr>
        <w:pStyle w:val="Uvuenotijeloteksta"/>
        <w:spacing w:line="240" w:lineRule="auto"/>
        <w:ind w:firstLine="0"/>
      </w:pPr>
      <w:r w:rsidRPr="00A12B5C">
        <w:t xml:space="preserve">Stanje razgraničenih prihoda od naknada za korištenje poljoprivrednog zemljišta u nepoljoprivredne svrhe </w:t>
      </w:r>
      <w:r w:rsidR="00560CEA" w:rsidRPr="00A12B5C">
        <w:t xml:space="preserve">(analitički konto 722422) </w:t>
      </w:r>
      <w:r w:rsidRPr="00A12B5C">
        <w:t>na dan 31.12.201</w:t>
      </w:r>
      <w:r w:rsidR="00ED530A">
        <w:t>8</w:t>
      </w:r>
      <w:r w:rsidRPr="00A12B5C">
        <w:t xml:space="preserve">. godine </w:t>
      </w:r>
      <w:r w:rsidR="00C92FB1" w:rsidRPr="00A12B5C">
        <w:t>iznosilo</w:t>
      </w:r>
      <w:r w:rsidRPr="00A12B5C">
        <w:t xml:space="preserve"> je </w:t>
      </w:r>
      <w:r w:rsidR="00ED530A">
        <w:t>97.664,14</w:t>
      </w:r>
      <w:r w:rsidRPr="00A12B5C">
        <w:t xml:space="preserve"> KM</w:t>
      </w:r>
      <w:r w:rsidR="00560CEA" w:rsidRPr="00A12B5C">
        <w:t>.</w:t>
      </w:r>
      <w:r w:rsidRPr="00A12B5C">
        <w:t xml:space="preserve"> </w:t>
      </w:r>
      <w:r w:rsidR="00560CEA" w:rsidRPr="00A12B5C">
        <w:t>T</w:t>
      </w:r>
      <w:r w:rsidRPr="00A12B5C">
        <w:t>ijekom 201</w:t>
      </w:r>
      <w:r w:rsidR="00ED530A">
        <w:t>9</w:t>
      </w:r>
      <w:r w:rsidRPr="00A12B5C">
        <w:t xml:space="preserve">. godine prikupljeno je dodatnih </w:t>
      </w:r>
      <w:r w:rsidR="00ED530A">
        <w:t>49.059,15</w:t>
      </w:r>
      <w:r w:rsidRPr="00A12B5C">
        <w:t xml:space="preserve"> KM</w:t>
      </w:r>
      <w:r w:rsidR="00560CEA" w:rsidRPr="00A12B5C">
        <w:t xml:space="preserve"> ovih naknada</w:t>
      </w:r>
      <w:r w:rsidR="008F5CD1" w:rsidRPr="00A12B5C">
        <w:t>,</w:t>
      </w:r>
      <w:r w:rsidRPr="00A12B5C">
        <w:t xml:space="preserve"> </w:t>
      </w:r>
      <w:r w:rsidR="00560CEA" w:rsidRPr="00A12B5C">
        <w:t xml:space="preserve">te </w:t>
      </w:r>
      <w:r w:rsidR="00ED530A">
        <w:t>78.656,81</w:t>
      </w:r>
      <w:r w:rsidR="00560CEA" w:rsidRPr="00A12B5C">
        <w:t xml:space="preserve"> KM prihoda od iznajmljivanja zemljišta (analitički konto 721121), odnosno ukupno </w:t>
      </w:r>
      <w:r w:rsidR="00ED530A">
        <w:t>127.715,96</w:t>
      </w:r>
      <w:r w:rsidR="00560CEA" w:rsidRPr="00A12B5C">
        <w:t xml:space="preserve"> KM prihoda čija je namjena zaštita i uređenje poljoprivrednog zemljišta. Obzirom da je </w:t>
      </w:r>
      <w:r w:rsidRPr="00A12B5C">
        <w:t xml:space="preserve">potrošnja </w:t>
      </w:r>
      <w:r w:rsidR="00560CEA" w:rsidRPr="00A12B5C">
        <w:t xml:space="preserve">na Grantu za uređenje poljoprivrednog zemljišta pri Ministarstvu poljoprivrede, vodoprivrede i šumarstva </w:t>
      </w:r>
      <w:r w:rsidRPr="00A12B5C">
        <w:t>u 201</w:t>
      </w:r>
      <w:r w:rsidR="00ED530A">
        <w:t>9</w:t>
      </w:r>
      <w:r w:rsidRPr="00A12B5C">
        <w:t xml:space="preserve">. godini iznosila </w:t>
      </w:r>
      <w:r w:rsidR="00ED530A">
        <w:t>218.047,94</w:t>
      </w:r>
      <w:r w:rsidR="00560CEA" w:rsidRPr="00A12B5C">
        <w:t xml:space="preserve"> KM, razlika gore navedenih ostvarenih prihoda do iznosa potrošnje (</w:t>
      </w:r>
      <w:r w:rsidR="00ED530A">
        <w:t>90.331,98</w:t>
      </w:r>
      <w:r w:rsidR="00560CEA" w:rsidRPr="00A12B5C">
        <w:t xml:space="preserve"> KM) je skinut</w:t>
      </w:r>
      <w:r w:rsidR="00ED530A">
        <w:t>a</w:t>
      </w:r>
      <w:r w:rsidR="00560CEA" w:rsidRPr="00A12B5C">
        <w:t xml:space="preserve"> s razgraničenja i </w:t>
      </w:r>
      <w:r w:rsidR="00ED530A">
        <w:t xml:space="preserve">prihodovno </w:t>
      </w:r>
      <w:r w:rsidR="00560CEA" w:rsidRPr="00A12B5C">
        <w:t>priznat</w:t>
      </w:r>
      <w:r w:rsidR="00ED530A">
        <w:t>a</w:t>
      </w:r>
      <w:r w:rsidR="00560CEA" w:rsidRPr="00A12B5C">
        <w:t xml:space="preserve"> u 201</w:t>
      </w:r>
      <w:r w:rsidR="00ED530A">
        <w:t>9</w:t>
      </w:r>
      <w:r w:rsidR="00560CEA" w:rsidRPr="00A12B5C">
        <w:t>. godini.</w:t>
      </w:r>
      <w:r w:rsidR="00D9554B" w:rsidRPr="00A12B5C">
        <w:t xml:space="preserve"> </w:t>
      </w:r>
    </w:p>
    <w:p w:rsidR="00ED530A" w:rsidRDefault="00ED530A" w:rsidP="00957836">
      <w:pPr>
        <w:pStyle w:val="Uvuenotijeloteksta"/>
        <w:spacing w:line="240" w:lineRule="auto"/>
        <w:ind w:firstLine="0"/>
      </w:pPr>
    </w:p>
    <w:p w:rsidR="00ED530A" w:rsidRPr="00A12B5C" w:rsidRDefault="00ED530A" w:rsidP="00957836">
      <w:pPr>
        <w:pStyle w:val="Uvuenotijeloteksta"/>
        <w:spacing w:line="240" w:lineRule="auto"/>
        <w:ind w:firstLine="0"/>
      </w:pPr>
      <w:r>
        <w:t>Nadalje, s</w:t>
      </w:r>
      <w:r w:rsidRPr="00A12B5C">
        <w:t xml:space="preserve">tanje razgraničenih prihoda </w:t>
      </w:r>
      <w:r>
        <w:t>od naknada za opće korisne funkcije šuma utvrđenih županijskim propisima</w:t>
      </w:r>
      <w:r w:rsidRPr="00A12B5C">
        <w:t xml:space="preserve"> (analitički konto </w:t>
      </w:r>
      <w:r>
        <w:t>722471</w:t>
      </w:r>
      <w:r w:rsidRPr="00A12B5C">
        <w:t>) na dan 31.12.201</w:t>
      </w:r>
      <w:r>
        <w:t>8</w:t>
      </w:r>
      <w:r w:rsidRPr="00A12B5C">
        <w:t xml:space="preserve">. godine iznosilo je </w:t>
      </w:r>
      <w:r>
        <w:t>87.763,90</w:t>
      </w:r>
      <w:r w:rsidRPr="00A12B5C">
        <w:t xml:space="preserve"> KM. Tijekom 201</w:t>
      </w:r>
      <w:r>
        <w:t>9</w:t>
      </w:r>
      <w:r w:rsidRPr="00A12B5C">
        <w:t xml:space="preserve">. godine prikupljeno je dodatnih </w:t>
      </w:r>
      <w:r>
        <w:t>85.158,82</w:t>
      </w:r>
      <w:r w:rsidRPr="00A12B5C">
        <w:t xml:space="preserve"> KM ovih naknada, te </w:t>
      </w:r>
      <w:r>
        <w:t>55.283,94</w:t>
      </w:r>
      <w:r w:rsidRPr="00A12B5C">
        <w:t xml:space="preserve"> KM </w:t>
      </w:r>
      <w:r>
        <w:t>ostalih naknada za korištenje, zaštitu i unapređenje šuma utvrđenih županijskim propisima</w:t>
      </w:r>
      <w:r w:rsidRPr="00A12B5C">
        <w:t xml:space="preserve">, odnosno ukupno </w:t>
      </w:r>
      <w:r>
        <w:t>140.442,46</w:t>
      </w:r>
      <w:r w:rsidRPr="00A12B5C">
        <w:t xml:space="preserve"> KM prihoda. Obzirom da je potrošnja na </w:t>
      </w:r>
      <w:proofErr w:type="spellStart"/>
      <w:r w:rsidRPr="00A12B5C">
        <w:t>na</w:t>
      </w:r>
      <w:proofErr w:type="spellEnd"/>
      <w:r w:rsidRPr="00A12B5C">
        <w:t xml:space="preserve"> </w:t>
      </w:r>
      <w:proofErr w:type="spellStart"/>
      <w:r w:rsidRPr="00A12B5C">
        <w:t>Grantovima</w:t>
      </w:r>
      <w:proofErr w:type="spellEnd"/>
      <w:r w:rsidRPr="00A12B5C">
        <w:t xml:space="preserve"> za šumarstvo pri Ministarstvu poljoprivrede, vodoprivrede i šumarstva u 201</w:t>
      </w:r>
      <w:r>
        <w:t>9</w:t>
      </w:r>
      <w:r w:rsidRPr="00A12B5C">
        <w:t xml:space="preserve">. godini iznosila </w:t>
      </w:r>
      <w:r>
        <w:t>179.613,69 KM</w:t>
      </w:r>
      <w:r w:rsidRPr="00A12B5C">
        <w:t>, razlika gore navedenih ostvarenih prihoda do iznosa potrošnje (</w:t>
      </w:r>
      <w:r>
        <w:t>39.171,23</w:t>
      </w:r>
      <w:r w:rsidRPr="00A12B5C">
        <w:t xml:space="preserve"> KM) je skinut</w:t>
      </w:r>
      <w:r>
        <w:t>a</w:t>
      </w:r>
      <w:r w:rsidRPr="00A12B5C">
        <w:t xml:space="preserve"> s razgraničenja i </w:t>
      </w:r>
      <w:r>
        <w:t xml:space="preserve">prihodovno </w:t>
      </w:r>
      <w:r w:rsidRPr="00A12B5C">
        <w:t>priznat</w:t>
      </w:r>
      <w:r>
        <w:t>a</w:t>
      </w:r>
      <w:r w:rsidRPr="00A12B5C">
        <w:t xml:space="preserve"> u 201</w:t>
      </w:r>
      <w:r>
        <w:t>9</w:t>
      </w:r>
      <w:r w:rsidRPr="00A12B5C">
        <w:t>. godini.</w:t>
      </w:r>
    </w:p>
    <w:p w:rsidR="00560CEA" w:rsidRPr="00A12B5C" w:rsidRDefault="00560CEA" w:rsidP="00957836">
      <w:pPr>
        <w:pStyle w:val="Uvuenotijeloteksta"/>
        <w:spacing w:line="240" w:lineRule="auto"/>
        <w:ind w:firstLine="0"/>
      </w:pPr>
    </w:p>
    <w:p w:rsidR="00E8124D" w:rsidRDefault="00E8124D" w:rsidP="00957836">
      <w:pPr>
        <w:pStyle w:val="Uvuenotijeloteksta"/>
        <w:spacing w:line="240" w:lineRule="auto"/>
        <w:ind w:firstLine="0"/>
      </w:pPr>
      <w:r w:rsidRPr="00A12B5C">
        <w:t xml:space="preserve">U sljedećoj tablici prikazano je </w:t>
      </w:r>
      <w:r w:rsidR="008437B9" w:rsidRPr="00A12B5C">
        <w:t xml:space="preserve">stvarno </w:t>
      </w:r>
      <w:r w:rsidRPr="00A12B5C">
        <w:t>ostvarenje namjenskih prihoda od ostalih proračunsk</w:t>
      </w:r>
      <w:r w:rsidR="006A2F26" w:rsidRPr="00A12B5C">
        <w:t>i</w:t>
      </w:r>
      <w:r w:rsidRPr="00A12B5C">
        <w:t>h naknada</w:t>
      </w:r>
      <w:r w:rsidR="008437B9" w:rsidRPr="00A12B5C">
        <w:t>, te njihovo prihodovanje i/ili razgraničavanje obzirom na namjensku potrošnju u 201</w:t>
      </w:r>
      <w:r w:rsidR="00897020">
        <w:t>9</w:t>
      </w:r>
      <w:r w:rsidR="008437B9" w:rsidRPr="00A12B5C">
        <w:t>. godini.</w:t>
      </w:r>
    </w:p>
    <w:p w:rsidR="00E8124D" w:rsidRPr="00A12B5C" w:rsidRDefault="006A2F26" w:rsidP="006A2F26">
      <w:pPr>
        <w:pStyle w:val="Uvuenotijeloteksta"/>
        <w:spacing w:line="240" w:lineRule="auto"/>
        <w:ind w:firstLine="0"/>
        <w:jc w:val="right"/>
        <w:rPr>
          <w:sz w:val="16"/>
          <w:szCs w:val="16"/>
        </w:rPr>
      </w:pPr>
      <w:r w:rsidRPr="00A12B5C">
        <w:rPr>
          <w:sz w:val="16"/>
          <w:szCs w:val="16"/>
        </w:rPr>
        <w:t>u KM</w:t>
      </w:r>
    </w:p>
    <w:tbl>
      <w:tblPr>
        <w:tblStyle w:val="Reetkatablice"/>
        <w:tblW w:w="9322" w:type="dxa"/>
        <w:tblLayout w:type="fixed"/>
        <w:tblLook w:val="04A0"/>
      </w:tblPr>
      <w:tblGrid>
        <w:gridCol w:w="534"/>
        <w:gridCol w:w="5103"/>
        <w:gridCol w:w="1275"/>
        <w:gridCol w:w="1276"/>
        <w:gridCol w:w="1134"/>
      </w:tblGrid>
      <w:tr w:rsidR="008437B9" w:rsidRPr="00A12B5C" w:rsidTr="008437B9">
        <w:tc>
          <w:tcPr>
            <w:tcW w:w="534" w:type="dxa"/>
            <w:vAlign w:val="center"/>
          </w:tcPr>
          <w:p w:rsidR="008437B9" w:rsidRPr="00A12B5C" w:rsidRDefault="008437B9" w:rsidP="006A2F26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A12B5C">
              <w:rPr>
                <w:b/>
                <w:sz w:val="14"/>
                <w:szCs w:val="14"/>
              </w:rPr>
              <w:t>RB</w:t>
            </w:r>
          </w:p>
        </w:tc>
        <w:tc>
          <w:tcPr>
            <w:tcW w:w="5103" w:type="dxa"/>
            <w:vAlign w:val="center"/>
          </w:tcPr>
          <w:p w:rsidR="008437B9" w:rsidRPr="00A12B5C" w:rsidRDefault="008437B9" w:rsidP="006A2F26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A12B5C">
              <w:rPr>
                <w:b/>
                <w:sz w:val="14"/>
                <w:szCs w:val="14"/>
              </w:rPr>
              <w:t>Vrsta prihoda</w:t>
            </w:r>
          </w:p>
        </w:tc>
        <w:tc>
          <w:tcPr>
            <w:tcW w:w="1275" w:type="dxa"/>
            <w:vAlign w:val="center"/>
          </w:tcPr>
          <w:p w:rsidR="008437B9" w:rsidRPr="00A12B5C" w:rsidRDefault="008437B9" w:rsidP="00897020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A12B5C">
              <w:rPr>
                <w:b/>
                <w:sz w:val="14"/>
                <w:szCs w:val="14"/>
              </w:rPr>
              <w:t>Stvarno realizirano u 201</w:t>
            </w:r>
            <w:r w:rsidR="00897020">
              <w:rPr>
                <w:b/>
                <w:sz w:val="14"/>
                <w:szCs w:val="14"/>
              </w:rPr>
              <w:t>9</w:t>
            </w:r>
            <w:r w:rsidRPr="00A12B5C"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8437B9" w:rsidRPr="00A12B5C" w:rsidRDefault="008437B9" w:rsidP="00897020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A12B5C">
              <w:rPr>
                <w:b/>
                <w:sz w:val="14"/>
                <w:szCs w:val="14"/>
              </w:rPr>
              <w:t xml:space="preserve">Prihodovano </w:t>
            </w:r>
            <w:r w:rsidR="00897020">
              <w:rPr>
                <w:b/>
                <w:sz w:val="14"/>
                <w:szCs w:val="14"/>
              </w:rPr>
              <w:t xml:space="preserve">sa </w:t>
            </w:r>
            <w:proofErr w:type="spellStart"/>
            <w:r w:rsidR="00897020">
              <w:rPr>
                <w:b/>
                <w:sz w:val="14"/>
                <w:szCs w:val="14"/>
              </w:rPr>
              <w:t>razgramičenja</w:t>
            </w:r>
            <w:proofErr w:type="spellEnd"/>
            <w:r w:rsidR="00897020">
              <w:rPr>
                <w:b/>
                <w:sz w:val="14"/>
                <w:szCs w:val="14"/>
              </w:rPr>
              <w:t xml:space="preserve"> obzirom</w:t>
            </w:r>
            <w:r w:rsidRPr="00A12B5C">
              <w:rPr>
                <w:b/>
                <w:sz w:val="14"/>
                <w:szCs w:val="14"/>
              </w:rPr>
              <w:t xml:space="preserve"> na namjensku potrošnju</w:t>
            </w:r>
          </w:p>
        </w:tc>
        <w:tc>
          <w:tcPr>
            <w:tcW w:w="1134" w:type="dxa"/>
            <w:vAlign w:val="center"/>
          </w:tcPr>
          <w:p w:rsidR="008437B9" w:rsidRPr="00A12B5C" w:rsidRDefault="00897020" w:rsidP="006A2F26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Ukupno priznati prihod u 2019.g.</w:t>
            </w:r>
          </w:p>
        </w:tc>
      </w:tr>
      <w:tr w:rsidR="00897020" w:rsidRPr="00897020" w:rsidTr="008437B9">
        <w:tc>
          <w:tcPr>
            <w:tcW w:w="534" w:type="dxa"/>
            <w:vAlign w:val="center"/>
          </w:tcPr>
          <w:p w:rsidR="00897020" w:rsidRPr="00897020" w:rsidRDefault="00897020" w:rsidP="00897020">
            <w:pPr>
              <w:pStyle w:val="Uvuenotijeloteksta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97020" w:rsidRPr="00897020" w:rsidRDefault="00897020" w:rsidP="00897020">
            <w:pPr>
              <w:pStyle w:val="Uvuenotijeloteksta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97020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897020" w:rsidRPr="00897020" w:rsidRDefault="00897020" w:rsidP="00897020">
            <w:pPr>
              <w:pStyle w:val="Uvuenotijeloteksta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897020" w:rsidRPr="00897020" w:rsidRDefault="00897020" w:rsidP="00897020">
            <w:pPr>
              <w:pStyle w:val="Uvuenotijeloteksta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897020" w:rsidRPr="00897020" w:rsidRDefault="00897020" w:rsidP="00897020">
            <w:pPr>
              <w:pStyle w:val="Uvuenotijeloteksta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897020">
              <w:rPr>
                <w:sz w:val="14"/>
                <w:szCs w:val="14"/>
              </w:rPr>
              <w:t>4=2+3</w:t>
            </w:r>
          </w:p>
        </w:tc>
      </w:tr>
      <w:tr w:rsidR="008437B9" w:rsidRPr="00A12B5C" w:rsidTr="008437B9">
        <w:tc>
          <w:tcPr>
            <w:tcW w:w="534" w:type="dxa"/>
            <w:vAlign w:val="center"/>
          </w:tcPr>
          <w:p w:rsidR="008437B9" w:rsidRPr="00A12B5C" w:rsidRDefault="008437B9" w:rsidP="006A2F26">
            <w:pPr>
              <w:pStyle w:val="Uvuenotijelotekst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</w:tcPr>
          <w:p w:rsidR="008437B9" w:rsidRPr="00A12B5C" w:rsidRDefault="008437B9" w:rsidP="006A2F26">
            <w:pPr>
              <w:pStyle w:val="Uvuenotijeloteksta"/>
              <w:spacing w:line="240" w:lineRule="auto"/>
              <w:ind w:firstLine="0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Naknade za korištenje poljoprivrednog zemljišta u nepoljoprivredne svrhe (722422)</w:t>
            </w:r>
          </w:p>
        </w:tc>
        <w:tc>
          <w:tcPr>
            <w:tcW w:w="1275" w:type="dxa"/>
            <w:vAlign w:val="center"/>
          </w:tcPr>
          <w:p w:rsidR="008437B9" w:rsidRPr="00A12B5C" w:rsidRDefault="00897020" w:rsidP="006A2F26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49.059,15</w:t>
            </w:r>
          </w:p>
        </w:tc>
        <w:tc>
          <w:tcPr>
            <w:tcW w:w="1276" w:type="dxa"/>
            <w:vAlign w:val="center"/>
          </w:tcPr>
          <w:p w:rsidR="008437B9" w:rsidRPr="00A12B5C" w:rsidRDefault="00897020" w:rsidP="006A2F26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90.331,98</w:t>
            </w:r>
          </w:p>
        </w:tc>
        <w:tc>
          <w:tcPr>
            <w:tcW w:w="1134" w:type="dxa"/>
            <w:vAlign w:val="center"/>
          </w:tcPr>
          <w:p w:rsidR="008437B9" w:rsidRPr="00A12B5C" w:rsidRDefault="00897020" w:rsidP="006A2F26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139.391,13</w:t>
            </w:r>
          </w:p>
        </w:tc>
      </w:tr>
      <w:tr w:rsidR="008437B9" w:rsidRPr="00A12B5C" w:rsidTr="008437B9">
        <w:tc>
          <w:tcPr>
            <w:tcW w:w="534" w:type="dxa"/>
            <w:vAlign w:val="center"/>
          </w:tcPr>
          <w:p w:rsidR="008437B9" w:rsidRPr="00A12B5C" w:rsidRDefault="00897020" w:rsidP="006A2F26">
            <w:pPr>
              <w:pStyle w:val="Uvuenotijelotekst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437B9" w:rsidRPr="00A12B5C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:rsidR="008437B9" w:rsidRPr="00897020" w:rsidRDefault="00897020" w:rsidP="00897020">
            <w:pPr>
              <w:pStyle w:val="Uvuenotijeloteksta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97020">
              <w:rPr>
                <w:sz w:val="18"/>
                <w:szCs w:val="18"/>
              </w:rPr>
              <w:t>aknad</w:t>
            </w:r>
            <w:r>
              <w:rPr>
                <w:sz w:val="18"/>
                <w:szCs w:val="18"/>
              </w:rPr>
              <w:t>e</w:t>
            </w:r>
            <w:r w:rsidRPr="00897020">
              <w:rPr>
                <w:sz w:val="18"/>
                <w:szCs w:val="18"/>
              </w:rPr>
              <w:t xml:space="preserve"> za opće korisne funkcije šuma utvrđen</w:t>
            </w:r>
            <w:r>
              <w:rPr>
                <w:sz w:val="18"/>
                <w:szCs w:val="18"/>
              </w:rPr>
              <w:t>e</w:t>
            </w:r>
            <w:r w:rsidRPr="00897020">
              <w:rPr>
                <w:sz w:val="18"/>
                <w:szCs w:val="18"/>
              </w:rPr>
              <w:t xml:space="preserve"> županijskim propisima</w:t>
            </w:r>
            <w:r w:rsidR="008437B9" w:rsidRPr="00897020">
              <w:rPr>
                <w:sz w:val="18"/>
                <w:szCs w:val="18"/>
              </w:rPr>
              <w:t xml:space="preserve"> (72247</w:t>
            </w:r>
            <w:r>
              <w:rPr>
                <w:sz w:val="18"/>
                <w:szCs w:val="18"/>
              </w:rPr>
              <w:t>1</w:t>
            </w:r>
            <w:r w:rsidR="008437B9" w:rsidRPr="00897020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8437B9" w:rsidRPr="00A12B5C" w:rsidRDefault="00897020" w:rsidP="006A2F26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85.158,52</w:t>
            </w:r>
          </w:p>
        </w:tc>
        <w:tc>
          <w:tcPr>
            <w:tcW w:w="1276" w:type="dxa"/>
            <w:vAlign w:val="center"/>
          </w:tcPr>
          <w:p w:rsidR="008437B9" w:rsidRPr="00A12B5C" w:rsidRDefault="00897020" w:rsidP="006A2F26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39.171,23</w:t>
            </w:r>
          </w:p>
        </w:tc>
        <w:tc>
          <w:tcPr>
            <w:tcW w:w="1134" w:type="dxa"/>
            <w:vAlign w:val="center"/>
          </w:tcPr>
          <w:p w:rsidR="008437B9" w:rsidRPr="00A12B5C" w:rsidRDefault="00897020" w:rsidP="006A2F26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124.329,75</w:t>
            </w:r>
          </w:p>
        </w:tc>
      </w:tr>
      <w:tr w:rsidR="008437B9" w:rsidRPr="00A12B5C" w:rsidTr="008437B9">
        <w:tc>
          <w:tcPr>
            <w:tcW w:w="534" w:type="dxa"/>
          </w:tcPr>
          <w:p w:rsidR="008437B9" w:rsidRPr="00A12B5C" w:rsidRDefault="008437B9" w:rsidP="006A2F26">
            <w:pPr>
              <w:pStyle w:val="Uvuenotijeloteksta"/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437B9" w:rsidRPr="00A12B5C" w:rsidRDefault="008437B9" w:rsidP="006A2F26">
            <w:pPr>
              <w:pStyle w:val="Uvuenotijeloteksta"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UKUPNO:</w:t>
            </w:r>
          </w:p>
        </w:tc>
        <w:tc>
          <w:tcPr>
            <w:tcW w:w="1275" w:type="dxa"/>
          </w:tcPr>
          <w:p w:rsidR="008437B9" w:rsidRPr="00A12B5C" w:rsidRDefault="00F2547B" w:rsidP="008437B9">
            <w:pPr>
              <w:pStyle w:val="Uvuenotijeloteksta"/>
              <w:spacing w:line="240" w:lineRule="auto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897020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897020">
              <w:rPr>
                <w:b/>
                <w:noProof/>
                <w:sz w:val="18"/>
                <w:szCs w:val="18"/>
              </w:rPr>
              <w:t>134.217,67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437B9" w:rsidRPr="00A12B5C" w:rsidRDefault="00F2547B" w:rsidP="006A2F26">
            <w:pPr>
              <w:pStyle w:val="Uvuenotijeloteksta"/>
              <w:spacing w:line="240" w:lineRule="auto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897020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897020">
              <w:rPr>
                <w:b/>
                <w:noProof/>
                <w:sz w:val="18"/>
                <w:szCs w:val="18"/>
              </w:rPr>
              <w:t>129.503,21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437B9" w:rsidRPr="00A12B5C" w:rsidRDefault="00F2547B" w:rsidP="006A2F26">
            <w:pPr>
              <w:pStyle w:val="Uvuenotijeloteksta"/>
              <w:spacing w:line="240" w:lineRule="auto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897020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897020">
              <w:rPr>
                <w:b/>
                <w:noProof/>
                <w:sz w:val="18"/>
                <w:szCs w:val="18"/>
              </w:rPr>
              <w:t>263.720,88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8437B9" w:rsidRDefault="008437B9" w:rsidP="008437B9">
      <w:pPr>
        <w:pStyle w:val="Uvuenotijeloteksta"/>
        <w:spacing w:line="240" w:lineRule="auto"/>
        <w:ind w:firstLine="0"/>
      </w:pPr>
    </w:p>
    <w:p w:rsidR="00897020" w:rsidRDefault="00897020" w:rsidP="008437B9">
      <w:pPr>
        <w:pStyle w:val="Uvuenotijeloteksta"/>
        <w:spacing w:line="240" w:lineRule="auto"/>
        <w:ind w:firstLine="0"/>
      </w:pPr>
      <w:r>
        <w:t>Dakle, u 2019. godini stvarna realizacija ostalih proračunskih naknada bila je za 129.503 KM manja od ukupno priznatih prihoda po ovoj osnovi.</w:t>
      </w:r>
    </w:p>
    <w:p w:rsidR="00957836" w:rsidRPr="00A12B5C" w:rsidRDefault="00957836" w:rsidP="00957836">
      <w:pPr>
        <w:pStyle w:val="Uvuenotijeloteksta"/>
        <w:spacing w:line="240" w:lineRule="auto"/>
        <w:ind w:firstLine="0"/>
      </w:pPr>
      <w:r w:rsidRPr="00A12B5C">
        <w:lastRenderedPageBreak/>
        <w:t>Slijedi tablični i grafički prikaz strukture ostvarenih prihoda po osnovi ostalih proračunskih naknada.</w:t>
      </w:r>
    </w:p>
    <w:p w:rsidR="002549C3" w:rsidRDefault="002549C3" w:rsidP="00957836">
      <w:pPr>
        <w:jc w:val="both"/>
        <w:rPr>
          <w:sz w:val="20"/>
          <w:szCs w:val="20"/>
        </w:rPr>
      </w:pPr>
    </w:p>
    <w:p w:rsidR="00957836" w:rsidRPr="00A12B5C" w:rsidRDefault="00957836" w:rsidP="00957836">
      <w:pPr>
        <w:jc w:val="both"/>
        <w:rPr>
          <w:sz w:val="20"/>
          <w:szCs w:val="20"/>
        </w:rPr>
      </w:pPr>
      <w:r w:rsidRPr="00A12B5C">
        <w:rPr>
          <w:sz w:val="20"/>
          <w:szCs w:val="20"/>
        </w:rPr>
        <w:t xml:space="preserve">Tablica </w:t>
      </w:r>
      <w:r w:rsidR="00A832B5" w:rsidRPr="00A12B5C">
        <w:rPr>
          <w:sz w:val="20"/>
          <w:szCs w:val="20"/>
        </w:rPr>
        <w:t>6</w:t>
      </w:r>
      <w:r w:rsidRPr="00A12B5C">
        <w:rPr>
          <w:sz w:val="20"/>
          <w:szCs w:val="20"/>
        </w:rPr>
        <w:t xml:space="preserve">. Struktura ostvarenih prihoda od ostalih proračunskih naknada Proračuna </w:t>
      </w:r>
      <w:proofErr w:type="spellStart"/>
      <w:r w:rsidRPr="00A12B5C">
        <w:rPr>
          <w:sz w:val="20"/>
          <w:szCs w:val="20"/>
        </w:rPr>
        <w:t>Žup.Posavske</w:t>
      </w:r>
      <w:proofErr w:type="spellEnd"/>
      <w:r w:rsidRPr="00A12B5C">
        <w:rPr>
          <w:sz w:val="20"/>
          <w:szCs w:val="20"/>
        </w:rPr>
        <w:t xml:space="preserve"> u 201</w:t>
      </w:r>
      <w:r w:rsidR="00897020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7836" w:rsidRPr="00A12B5C" w:rsidTr="00957836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7836" w:rsidRPr="00A12B5C" w:rsidRDefault="00957836" w:rsidP="00957836">
            <w:pPr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7836" w:rsidRPr="00A12B5C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Ostvareno</w:t>
            </w:r>
          </w:p>
          <w:p w:rsidR="00957836" w:rsidRPr="00A12B5C" w:rsidRDefault="00957836" w:rsidP="00897020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201</w:t>
            </w:r>
            <w:r w:rsidR="00897020">
              <w:rPr>
                <w:b/>
                <w:sz w:val="22"/>
              </w:rPr>
              <w:t>9</w:t>
            </w:r>
            <w:r w:rsidRPr="00A12B5C">
              <w:rPr>
                <w:b/>
                <w:sz w:val="22"/>
              </w:rPr>
              <w:t>.g.</w:t>
            </w:r>
            <w:r w:rsidR="0057589E" w:rsidRPr="00A12B5C">
              <w:rPr>
                <w:b/>
                <w:sz w:val="22"/>
              </w:rPr>
              <w:t xml:space="preserve"> </w:t>
            </w:r>
            <w:r w:rsidRPr="00A12B5C">
              <w:rPr>
                <w:b/>
                <w:sz w:val="22"/>
              </w:rPr>
              <w:t>(u KM)</w:t>
            </w:r>
          </w:p>
        </w:tc>
        <w:tc>
          <w:tcPr>
            <w:tcW w:w="1242" w:type="dxa"/>
          </w:tcPr>
          <w:p w:rsidR="00957836" w:rsidRPr="00A12B5C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 xml:space="preserve">% </w:t>
            </w:r>
          </w:p>
          <w:p w:rsidR="00957836" w:rsidRPr="00A12B5C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učešća</w:t>
            </w:r>
          </w:p>
        </w:tc>
      </w:tr>
      <w:tr w:rsidR="00957836" w:rsidRPr="00A12B5C" w:rsidTr="00957836">
        <w:trPr>
          <w:cnfStyle w:val="000000100000"/>
        </w:trPr>
        <w:tc>
          <w:tcPr>
            <w:cnfStyle w:val="001000000000"/>
            <w:tcW w:w="5637" w:type="dxa"/>
          </w:tcPr>
          <w:p w:rsidR="00957836" w:rsidRPr="00A12B5C" w:rsidRDefault="00957836" w:rsidP="00957836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Županijske naknade</w:t>
            </w:r>
          </w:p>
        </w:tc>
        <w:tc>
          <w:tcPr>
            <w:tcW w:w="2409" w:type="dxa"/>
            <w:vAlign w:val="center"/>
          </w:tcPr>
          <w:p w:rsidR="00957836" w:rsidRPr="00A12B5C" w:rsidRDefault="00897020" w:rsidP="00957836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146.500</w:t>
            </w:r>
          </w:p>
        </w:tc>
        <w:tc>
          <w:tcPr>
            <w:tcW w:w="1242" w:type="dxa"/>
            <w:vAlign w:val="center"/>
          </w:tcPr>
          <w:p w:rsidR="00957836" w:rsidRPr="00A12B5C" w:rsidRDefault="00897020" w:rsidP="00957836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44,96</w:t>
            </w:r>
          </w:p>
        </w:tc>
      </w:tr>
      <w:tr w:rsidR="00957836" w:rsidRPr="00A12B5C" w:rsidTr="00957836">
        <w:tc>
          <w:tcPr>
            <w:cnfStyle w:val="001000000000"/>
            <w:tcW w:w="5637" w:type="dxa"/>
          </w:tcPr>
          <w:p w:rsidR="00957836" w:rsidRPr="00A12B5C" w:rsidRDefault="00957836" w:rsidP="00957836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Naknade za korištenje šuma</w:t>
            </w:r>
          </w:p>
        </w:tc>
        <w:tc>
          <w:tcPr>
            <w:tcW w:w="2409" w:type="dxa"/>
            <w:vAlign w:val="center"/>
          </w:tcPr>
          <w:p w:rsidR="00957836" w:rsidRPr="00A12B5C" w:rsidRDefault="00897020" w:rsidP="00957836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2.428</w:t>
            </w:r>
          </w:p>
        </w:tc>
        <w:tc>
          <w:tcPr>
            <w:tcW w:w="1242" w:type="dxa"/>
            <w:vAlign w:val="center"/>
          </w:tcPr>
          <w:p w:rsidR="00957836" w:rsidRPr="00A12B5C" w:rsidRDefault="00897020" w:rsidP="00957836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0,75</w:t>
            </w:r>
          </w:p>
        </w:tc>
      </w:tr>
      <w:tr w:rsidR="00957836" w:rsidRPr="00A12B5C" w:rsidTr="00957836">
        <w:trPr>
          <w:cnfStyle w:val="000000100000"/>
        </w:trPr>
        <w:tc>
          <w:tcPr>
            <w:cnfStyle w:val="001000000000"/>
            <w:tcW w:w="5637" w:type="dxa"/>
          </w:tcPr>
          <w:p w:rsidR="00957836" w:rsidRPr="00A12B5C" w:rsidRDefault="00957836" w:rsidP="00957836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Nakn.za korišt., zaštitu i unapređ.šuma utvrđ.žup.propisima</w:t>
            </w:r>
          </w:p>
        </w:tc>
        <w:tc>
          <w:tcPr>
            <w:tcW w:w="2409" w:type="dxa"/>
            <w:vAlign w:val="center"/>
          </w:tcPr>
          <w:p w:rsidR="00957836" w:rsidRPr="00A12B5C" w:rsidRDefault="00897020" w:rsidP="00957836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176.890</w:t>
            </w:r>
          </w:p>
        </w:tc>
        <w:tc>
          <w:tcPr>
            <w:tcW w:w="1242" w:type="dxa"/>
            <w:vAlign w:val="center"/>
          </w:tcPr>
          <w:p w:rsidR="00957836" w:rsidRPr="00A12B5C" w:rsidRDefault="00897020" w:rsidP="00957836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54,29</w:t>
            </w:r>
          </w:p>
        </w:tc>
      </w:tr>
      <w:tr w:rsidR="00957836" w:rsidRPr="00A12B5C" w:rsidTr="00957836">
        <w:tc>
          <w:tcPr>
            <w:cnfStyle w:val="001000000000"/>
            <w:tcW w:w="5637" w:type="dxa"/>
          </w:tcPr>
          <w:p w:rsidR="00957836" w:rsidRPr="00A12B5C" w:rsidRDefault="00957836" w:rsidP="00957836">
            <w:pPr>
              <w:jc w:val="both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957836" w:rsidRPr="00A12B5C" w:rsidRDefault="00F2547B" w:rsidP="00957836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89702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897020">
              <w:rPr>
                <w:b/>
                <w:noProof/>
                <w:sz w:val="22"/>
              </w:rPr>
              <w:t>325.818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7836" w:rsidRPr="00A12B5C" w:rsidRDefault="00F2547B" w:rsidP="00957836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89702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897020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897020">
              <w:rPr>
                <w:b/>
                <w:sz w:val="22"/>
              </w:rPr>
              <w:t>,00</w:t>
            </w:r>
          </w:p>
        </w:tc>
      </w:tr>
    </w:tbl>
    <w:p w:rsidR="00150110" w:rsidRPr="00A12B5C" w:rsidRDefault="00150110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</w:p>
    <w:p w:rsidR="00150110" w:rsidRPr="00A12B5C" w:rsidRDefault="00150110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 w:rsidRPr="00A12B5C">
        <w:rPr>
          <w:noProof/>
          <w:lang w:eastAsia="hr-HR"/>
        </w:rPr>
        <w:drawing>
          <wp:inline distT="0" distB="0" distL="0" distR="0">
            <wp:extent cx="3704400" cy="1818000"/>
            <wp:effectExtent l="1905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7836" w:rsidRPr="00A12B5C" w:rsidRDefault="00957836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 w:rsidRPr="00A12B5C">
        <w:rPr>
          <w:sz w:val="20"/>
          <w:szCs w:val="20"/>
        </w:rPr>
        <w:t xml:space="preserve">Graf </w:t>
      </w:r>
      <w:r w:rsidR="00A832B5" w:rsidRPr="00A12B5C">
        <w:rPr>
          <w:sz w:val="20"/>
          <w:szCs w:val="20"/>
        </w:rPr>
        <w:t>7</w:t>
      </w:r>
      <w:r w:rsidRPr="00A12B5C">
        <w:rPr>
          <w:sz w:val="20"/>
          <w:szCs w:val="20"/>
        </w:rPr>
        <w:t xml:space="preserve">. Struktura ostvarenih prihoda od </w:t>
      </w:r>
      <w:r w:rsidR="00150110" w:rsidRPr="00A12B5C">
        <w:rPr>
          <w:sz w:val="20"/>
          <w:szCs w:val="20"/>
        </w:rPr>
        <w:t xml:space="preserve">ostalih </w:t>
      </w:r>
      <w:proofErr w:type="spellStart"/>
      <w:r w:rsidR="00150110" w:rsidRPr="00A12B5C">
        <w:rPr>
          <w:sz w:val="20"/>
          <w:szCs w:val="20"/>
        </w:rPr>
        <w:t>pror.</w:t>
      </w:r>
      <w:r w:rsidRPr="00A12B5C">
        <w:rPr>
          <w:sz w:val="20"/>
          <w:szCs w:val="20"/>
        </w:rPr>
        <w:t>naknada</w:t>
      </w:r>
      <w:proofErr w:type="spellEnd"/>
      <w:r w:rsidRPr="00A12B5C">
        <w:rPr>
          <w:sz w:val="20"/>
          <w:szCs w:val="20"/>
        </w:rPr>
        <w:t xml:space="preserve"> Proračuna </w:t>
      </w:r>
      <w:r w:rsidR="00150110" w:rsidRPr="00A12B5C">
        <w:rPr>
          <w:sz w:val="20"/>
          <w:szCs w:val="20"/>
        </w:rPr>
        <w:t>ŽP</w:t>
      </w:r>
      <w:r w:rsidRPr="00A12B5C">
        <w:rPr>
          <w:sz w:val="20"/>
          <w:szCs w:val="20"/>
        </w:rPr>
        <w:t xml:space="preserve"> u.201</w:t>
      </w:r>
      <w:r w:rsidR="00897020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p w:rsidR="009D4BD9" w:rsidRPr="00A12B5C" w:rsidRDefault="009D4BD9" w:rsidP="009554E4">
      <w:pPr>
        <w:pStyle w:val="Uvuenotijeloteksta"/>
        <w:spacing w:line="240" w:lineRule="auto"/>
        <w:ind w:firstLine="0"/>
      </w:pPr>
    </w:p>
    <w:p w:rsidR="009554E4" w:rsidRPr="00A12B5C" w:rsidRDefault="009554E4" w:rsidP="009554E4">
      <w:pPr>
        <w:pStyle w:val="Uvuenotijeloteksta"/>
        <w:spacing w:line="240" w:lineRule="auto"/>
        <w:rPr>
          <w:sz w:val="10"/>
          <w:szCs w:val="10"/>
        </w:rPr>
      </w:pPr>
    </w:p>
    <w:p w:rsidR="009F215C" w:rsidRPr="00A12B5C" w:rsidRDefault="009554E4" w:rsidP="009554E4">
      <w:pPr>
        <w:pStyle w:val="Uvuenotijeloteksta"/>
        <w:spacing w:line="240" w:lineRule="auto"/>
        <w:ind w:firstLine="0"/>
      </w:pPr>
      <w:r w:rsidRPr="00A12B5C">
        <w:rPr>
          <w:b/>
          <w:i/>
        </w:rPr>
        <w:t>Naknade i pristojbe po Federalnim zakonima i drugim propisima (glavna skupina 722500)</w:t>
      </w:r>
      <w:r w:rsidRPr="00A12B5C">
        <w:t xml:space="preserve"> ostvarene su u visini od </w:t>
      </w:r>
      <w:r w:rsidR="00551749">
        <w:t>831.590</w:t>
      </w:r>
      <w:r w:rsidR="002A484B" w:rsidRPr="00A12B5C">
        <w:t xml:space="preserve"> </w:t>
      </w:r>
      <w:r w:rsidRPr="00A12B5C">
        <w:t xml:space="preserve">KM, odnosno </w:t>
      </w:r>
      <w:r w:rsidR="00551749">
        <w:t>107,95</w:t>
      </w:r>
      <w:r w:rsidR="000068B8" w:rsidRPr="00A12B5C">
        <w:t>% u odnosu na ukupni plan</w:t>
      </w:r>
      <w:r w:rsidR="0057589E" w:rsidRPr="00A12B5C">
        <w:t xml:space="preserve"> </w:t>
      </w:r>
      <w:r w:rsidR="00D9554B" w:rsidRPr="00A12B5C">
        <w:t>po ovoj osnovi</w:t>
      </w:r>
      <w:r w:rsidR="00551749">
        <w:t>,</w:t>
      </w:r>
      <w:r w:rsidR="00D9554B" w:rsidRPr="00A12B5C">
        <w:t xml:space="preserve"> </w:t>
      </w:r>
      <w:r w:rsidR="0057589E" w:rsidRPr="00A12B5C">
        <w:t xml:space="preserve">ili u apsolutnom iznosu </w:t>
      </w:r>
      <w:r w:rsidR="00551749">
        <w:t>61.220</w:t>
      </w:r>
      <w:r w:rsidR="0057589E" w:rsidRPr="00A12B5C">
        <w:t xml:space="preserve"> KM </w:t>
      </w:r>
      <w:r w:rsidR="00551749">
        <w:t>više</w:t>
      </w:r>
      <w:r w:rsidR="0057589E" w:rsidRPr="00A12B5C">
        <w:t xml:space="preserve"> od plana</w:t>
      </w:r>
      <w:r w:rsidR="000068B8" w:rsidRPr="00A12B5C">
        <w:t>. U odnosu na fiskaln</w:t>
      </w:r>
      <w:r w:rsidR="0057589E" w:rsidRPr="00A12B5C">
        <w:t>u</w:t>
      </w:r>
      <w:r w:rsidR="000068B8" w:rsidRPr="00A12B5C">
        <w:t xml:space="preserve"> 201</w:t>
      </w:r>
      <w:r w:rsidR="00551749">
        <w:t>8</w:t>
      </w:r>
      <w:r w:rsidR="000068B8" w:rsidRPr="00A12B5C">
        <w:t>. godin</w:t>
      </w:r>
      <w:r w:rsidR="0057589E" w:rsidRPr="00A12B5C">
        <w:t>u</w:t>
      </w:r>
      <w:r w:rsidR="000068B8" w:rsidRPr="00A12B5C">
        <w:t xml:space="preserve"> ostvarene naknade i pristojbe po Federalnim zakonima i drugim propisima veće su </w:t>
      </w:r>
      <w:r w:rsidR="00551749">
        <w:t>0,28</w:t>
      </w:r>
      <w:r w:rsidR="000068B8" w:rsidRPr="00A12B5C">
        <w:t xml:space="preserve">%, odnosno u apsolutnom iznosu </w:t>
      </w:r>
      <w:r w:rsidR="0057589E" w:rsidRPr="00A12B5C">
        <w:t xml:space="preserve">veće </w:t>
      </w:r>
      <w:r w:rsidR="000068B8" w:rsidRPr="00A12B5C">
        <w:t xml:space="preserve">za </w:t>
      </w:r>
      <w:r w:rsidR="00551749">
        <w:t>2.308</w:t>
      </w:r>
      <w:r w:rsidR="000068B8" w:rsidRPr="00A12B5C">
        <w:t xml:space="preserve"> KM. </w:t>
      </w:r>
    </w:p>
    <w:p w:rsidR="00551749" w:rsidRDefault="00551749" w:rsidP="009554E4">
      <w:pPr>
        <w:pStyle w:val="Uvuenotijeloteksta"/>
        <w:spacing w:line="240" w:lineRule="auto"/>
        <w:ind w:firstLine="0"/>
      </w:pPr>
    </w:p>
    <w:p w:rsidR="00533473" w:rsidRPr="00A12B5C" w:rsidRDefault="000068B8" w:rsidP="009554E4">
      <w:pPr>
        <w:pStyle w:val="Uvuenotijeloteksta"/>
        <w:spacing w:line="240" w:lineRule="auto"/>
        <w:ind w:firstLine="0"/>
      </w:pPr>
      <w:r w:rsidRPr="00A12B5C">
        <w:t xml:space="preserve">U strukturi naknada i pristojbi po Federalnim zakonima i drugim propisima najveće učešće imaju cestovne naknade (podgrupa 722530) u iznosu od </w:t>
      </w:r>
      <w:r w:rsidR="00551749">
        <w:t>353.505</w:t>
      </w:r>
      <w:r w:rsidR="00910E0A" w:rsidRPr="00A12B5C">
        <w:t xml:space="preserve"> KM</w:t>
      </w:r>
      <w:r w:rsidR="00D9554B" w:rsidRPr="00A12B5C">
        <w:t>,</w:t>
      </w:r>
      <w:r w:rsidRPr="00A12B5C">
        <w:t xml:space="preserve"> vodne naknade (podgrupa 722520) u iznosu od </w:t>
      </w:r>
      <w:r w:rsidR="00551749">
        <w:t>228.848</w:t>
      </w:r>
      <w:r w:rsidRPr="00A12B5C">
        <w:t xml:space="preserve"> KM</w:t>
      </w:r>
      <w:r w:rsidR="00D9554B" w:rsidRPr="00A12B5C">
        <w:t xml:space="preserve">, te naknade za zaštitu okoliša (podgrupa 722550) u iznosu od </w:t>
      </w:r>
      <w:r w:rsidR="00551749">
        <w:t>180.000</w:t>
      </w:r>
      <w:r w:rsidR="00D9554B" w:rsidRPr="00A12B5C">
        <w:t xml:space="preserve"> KM</w:t>
      </w:r>
      <w:r w:rsidRPr="00A12B5C">
        <w:t>. Ova skupina neporeznih prihoda predstavlja namjenske prihode, te osim navedenih uključuju još i naknade i pristojbe za veterinarske i sanitarne preglede životinja i biljaka</w:t>
      </w:r>
      <w:r w:rsidR="00FB2172" w:rsidRPr="00A12B5C">
        <w:t>, zaostale obveze po osnovi naknada za korištenje šuma</w:t>
      </w:r>
      <w:r w:rsidR="00910E0A" w:rsidRPr="00A12B5C">
        <w:t>,</w:t>
      </w:r>
      <w:r w:rsidR="00FB2172" w:rsidRPr="00A12B5C">
        <w:t xml:space="preserve"> </w:t>
      </w:r>
      <w:r w:rsidR="00D9554B" w:rsidRPr="00A12B5C">
        <w:t xml:space="preserve">i </w:t>
      </w:r>
      <w:r w:rsidR="00FB2172" w:rsidRPr="00A12B5C">
        <w:t>posebne naknade za zaštitu od prirodnih i drugih nesreća.</w:t>
      </w:r>
      <w:r w:rsidR="0057589E" w:rsidRPr="00A12B5C">
        <w:t xml:space="preserve"> </w:t>
      </w:r>
    </w:p>
    <w:p w:rsidR="009A690D" w:rsidRPr="00A12B5C" w:rsidRDefault="009A690D" w:rsidP="009554E4">
      <w:pPr>
        <w:pStyle w:val="Uvuenotijeloteksta"/>
        <w:spacing w:line="240" w:lineRule="auto"/>
        <w:ind w:firstLine="0"/>
      </w:pPr>
    </w:p>
    <w:p w:rsidR="00551749" w:rsidRDefault="00533473" w:rsidP="009554E4">
      <w:pPr>
        <w:pStyle w:val="Uvuenotijeloteksta"/>
        <w:spacing w:line="240" w:lineRule="auto"/>
        <w:ind w:firstLine="0"/>
      </w:pPr>
      <w:r w:rsidRPr="00A12B5C">
        <w:t>Ostvarenje vodnih naknada (podgrupa 722520) u 201</w:t>
      </w:r>
      <w:r w:rsidR="00551749">
        <w:t>9</w:t>
      </w:r>
      <w:r w:rsidRPr="00A12B5C">
        <w:t>. godini, čemu se za namjensku potrošnju pridodaju i prihodi od zakupa javnog vodnog dobra na površinskim vodama I. kategorije (analitički konto 721225)</w:t>
      </w:r>
      <w:r w:rsidR="00766E3D" w:rsidRPr="00A12B5C">
        <w:t>,</w:t>
      </w:r>
      <w:r w:rsidRPr="00A12B5C">
        <w:t xml:space="preserve"> bilo je manje od namjenske potrošnje na Grantovima za vodoprivredu </w:t>
      </w:r>
      <w:r w:rsidR="00766E3D" w:rsidRPr="00A12B5C">
        <w:t xml:space="preserve">pri Ministarstvu poljoprivrede, vodoprivrede i šumarstva, pa su navedene naknade u cijelosti </w:t>
      </w:r>
      <w:proofErr w:type="spellStart"/>
      <w:r w:rsidR="00766E3D" w:rsidRPr="00A12B5C">
        <w:t>oprihodovane</w:t>
      </w:r>
      <w:proofErr w:type="spellEnd"/>
      <w:r w:rsidR="00766E3D" w:rsidRPr="00A12B5C">
        <w:t xml:space="preserve"> u 201</w:t>
      </w:r>
      <w:r w:rsidR="00551749">
        <w:t>9</w:t>
      </w:r>
      <w:r w:rsidR="00766E3D" w:rsidRPr="00A12B5C">
        <w:t>. godini (</w:t>
      </w:r>
      <w:r w:rsidR="00551749">
        <w:t>228.848,03</w:t>
      </w:r>
      <w:r w:rsidR="00766E3D" w:rsidRPr="00A12B5C">
        <w:t xml:space="preserve"> KM ili </w:t>
      </w:r>
      <w:r w:rsidR="00551749">
        <w:t>98,72</w:t>
      </w:r>
      <w:r w:rsidR="00766E3D" w:rsidRPr="00A12B5C">
        <w:t>% plana).</w:t>
      </w:r>
      <w:r w:rsidR="009A690D" w:rsidRPr="00A12B5C">
        <w:t xml:space="preserve"> </w:t>
      </w:r>
    </w:p>
    <w:p w:rsidR="00551749" w:rsidRDefault="00551749" w:rsidP="009554E4">
      <w:pPr>
        <w:pStyle w:val="Uvuenotijeloteksta"/>
        <w:spacing w:line="240" w:lineRule="auto"/>
        <w:ind w:firstLine="0"/>
      </w:pPr>
    </w:p>
    <w:p w:rsidR="00533473" w:rsidRPr="00A12B5C" w:rsidRDefault="00551749" w:rsidP="009554E4">
      <w:pPr>
        <w:pStyle w:val="Uvuenotijeloteksta"/>
        <w:spacing w:line="240" w:lineRule="auto"/>
        <w:ind w:firstLine="0"/>
      </w:pPr>
      <w:r>
        <w:t>Ostvarenje</w:t>
      </w:r>
      <w:r w:rsidR="009A690D" w:rsidRPr="00A12B5C">
        <w:t xml:space="preserve"> cestovni</w:t>
      </w:r>
      <w:r>
        <w:t>h</w:t>
      </w:r>
      <w:r w:rsidR="009A690D" w:rsidRPr="00A12B5C">
        <w:t xml:space="preserve"> naknada</w:t>
      </w:r>
      <w:r>
        <w:t xml:space="preserve"> (podgrupa 722530)</w:t>
      </w:r>
      <w:r w:rsidR="009A690D" w:rsidRPr="00A12B5C">
        <w:t>,</w:t>
      </w:r>
      <w:r>
        <w:t xml:space="preserve"> kojima se pridodaju prihodi od neizravnih poreza koji pripadaju Direkciji cesta i prihodi od neizravnih poreza na ime financiranja autocesta u Federaciji BiH (717131 i 717114) bilo je veće od njihove namjenske potrošnje u okviru tekućeg i investicijskog održavanja cesta pri Ministarstvu prometa, veza, turizma i zaštite okoliša</w:t>
      </w:r>
      <w:r w:rsidR="009A690D" w:rsidRPr="00A12B5C">
        <w:t>.</w:t>
      </w:r>
      <w:r>
        <w:t xml:space="preserve"> Obzirom da je neutrošeni dio prihoda za navedene namjene </w:t>
      </w:r>
      <w:r w:rsidR="00071BB1">
        <w:t>razgraničen u potrebnom iznosu na pozicijama 717131 i 717114, ostvareni prihodi podgrupe 722530 prihodovno su priznati u cjelokupnom iznosu (353.505 KM ili 130,66% plana).</w:t>
      </w:r>
    </w:p>
    <w:p w:rsidR="000068B8" w:rsidRPr="00A12B5C" w:rsidRDefault="00766E3D" w:rsidP="009554E4">
      <w:pPr>
        <w:pStyle w:val="Uvuenotijeloteksta"/>
        <w:spacing w:line="240" w:lineRule="auto"/>
        <w:ind w:firstLine="0"/>
      </w:pPr>
      <w:r w:rsidRPr="00A12B5C">
        <w:lastRenderedPageBreak/>
        <w:t xml:space="preserve">Nadalje, </w:t>
      </w:r>
      <w:r w:rsidR="00071BB1">
        <w:t xml:space="preserve">i </w:t>
      </w:r>
      <w:r w:rsidR="0057589E" w:rsidRPr="00A12B5C">
        <w:t xml:space="preserve">ostvarenje </w:t>
      </w:r>
      <w:r w:rsidR="00EF521F" w:rsidRPr="00A12B5C">
        <w:t>naknada za zaštitu okoliša tijekom 201</w:t>
      </w:r>
      <w:r w:rsidR="00551749">
        <w:t>9</w:t>
      </w:r>
      <w:r w:rsidR="00EF521F" w:rsidRPr="00A12B5C">
        <w:t xml:space="preserve">. godine bilo je </w:t>
      </w:r>
      <w:r w:rsidRPr="00A12B5C">
        <w:t>veće</w:t>
      </w:r>
      <w:r w:rsidR="00EF521F" w:rsidRPr="00A12B5C">
        <w:t xml:space="preserve"> od njihove namjenske potrošnje, pa je razlika prihoda razgraničena na dan 31.12.201</w:t>
      </w:r>
      <w:r w:rsidR="00551749">
        <w:t>9</w:t>
      </w:r>
      <w:r w:rsidR="00EF521F" w:rsidRPr="00A12B5C">
        <w:t>. godine.</w:t>
      </w:r>
      <w:r w:rsidRPr="00A12B5C">
        <w:t xml:space="preserve"> Stvarno ostvarenje prihoda od naknada za zaštitu okoliša tijekom 201</w:t>
      </w:r>
      <w:r w:rsidR="00551749">
        <w:t>9</w:t>
      </w:r>
      <w:r w:rsidRPr="00A12B5C">
        <w:t xml:space="preserve">. godine iznosilo je </w:t>
      </w:r>
      <w:r w:rsidR="00551749">
        <w:t>199.769,56</w:t>
      </w:r>
      <w:r w:rsidRPr="00A12B5C">
        <w:t xml:space="preserve"> KM, dok je potrošnja na Grantu za zaštitu okoliša pri Ministarstvu prometa, veza, turizma i zaštite okoliša iznosila </w:t>
      </w:r>
      <w:r w:rsidR="00551749">
        <w:t>180.000</w:t>
      </w:r>
      <w:r w:rsidRPr="00A12B5C">
        <w:t xml:space="preserve"> KM, što znači da je iznos od </w:t>
      </w:r>
      <w:r w:rsidR="00551749">
        <w:t>19.769,56</w:t>
      </w:r>
      <w:r w:rsidRPr="00A12B5C">
        <w:t xml:space="preserve"> KM razgraničen za potrošnju u narednim razdobljima.</w:t>
      </w:r>
    </w:p>
    <w:p w:rsidR="000068B8" w:rsidRPr="00A12B5C" w:rsidRDefault="000068B8" w:rsidP="009554E4">
      <w:pPr>
        <w:pStyle w:val="Uvuenotijeloteksta"/>
        <w:spacing w:line="240" w:lineRule="auto"/>
        <w:ind w:firstLine="0"/>
      </w:pPr>
    </w:p>
    <w:p w:rsidR="00071BB1" w:rsidRDefault="00071BB1" w:rsidP="009A690D">
      <w:pPr>
        <w:pStyle w:val="Uvuenotijeloteksta"/>
        <w:spacing w:line="240" w:lineRule="auto"/>
        <w:ind w:firstLine="0"/>
      </w:pPr>
      <w:r>
        <w:t>Kao i u prethodnim slučajevima</w:t>
      </w:r>
      <w:r w:rsidR="009A690D" w:rsidRPr="00A12B5C">
        <w:t xml:space="preserve"> ostvarenje posebnih naknada za zaštitu od prirodnih i drugih nesreća tijekom 201</w:t>
      </w:r>
      <w:r>
        <w:t>9</w:t>
      </w:r>
      <w:r w:rsidR="009A690D" w:rsidRPr="00A12B5C">
        <w:t>. godine bilo je veće od njihove namjenske potrošnje, pa je razlika prihoda razgraničena na dan 31.12.201</w:t>
      </w:r>
      <w:r>
        <w:t>9</w:t>
      </w:r>
      <w:r w:rsidR="009A690D" w:rsidRPr="00A12B5C">
        <w:t>. godine. Stvarno ostvarenje ovih prihoda tijekom 201</w:t>
      </w:r>
      <w:r>
        <w:t>9</w:t>
      </w:r>
      <w:r w:rsidR="009A690D" w:rsidRPr="00A12B5C">
        <w:t xml:space="preserve">. godine (skupa s posebnim porezima na plaću za zaštitu od prirodnih i drugih nesreća i  </w:t>
      </w:r>
      <w:r w:rsidR="001606E5" w:rsidRPr="00A12B5C">
        <w:t xml:space="preserve">poseban porez za zaštitu od prirodnih i drugih nesreća po </w:t>
      </w:r>
      <w:r w:rsidR="00A12B5C" w:rsidRPr="00A12B5C">
        <w:t>osnovi</w:t>
      </w:r>
      <w:r w:rsidR="001606E5" w:rsidRPr="00A12B5C">
        <w:t xml:space="preserve"> ugovora o djelu i povremenih i privremenih poslova) </w:t>
      </w:r>
      <w:r w:rsidR="009A690D" w:rsidRPr="00A12B5C">
        <w:t xml:space="preserve">iznosilo je </w:t>
      </w:r>
      <w:r>
        <w:t>70.475,05</w:t>
      </w:r>
      <w:r w:rsidR="009A690D" w:rsidRPr="00A12B5C">
        <w:t xml:space="preserve"> KM, dok je potrošnja na Grantu za zaštitu od prirodnih i drugih nesreća </w:t>
      </w:r>
      <w:r>
        <w:t xml:space="preserve">i Nabavci opreme </w:t>
      </w:r>
      <w:r w:rsidR="009A690D" w:rsidRPr="00A12B5C">
        <w:t xml:space="preserve">pri Upravi za civilnu zaštitu Županije Posavske iznosila </w:t>
      </w:r>
      <w:r>
        <w:t>56.717,40</w:t>
      </w:r>
      <w:r w:rsidR="009A690D" w:rsidRPr="00A12B5C">
        <w:t xml:space="preserve"> KM, što znači da je iznos od </w:t>
      </w:r>
      <w:r>
        <w:t>13.757,65</w:t>
      </w:r>
      <w:r w:rsidR="009A690D" w:rsidRPr="00A12B5C">
        <w:t xml:space="preserve"> KM razgraničen za potrošnju u narednim razdobljima.</w:t>
      </w:r>
      <w:r w:rsidR="001606E5" w:rsidRPr="00A12B5C">
        <w:t xml:space="preserve"> </w:t>
      </w:r>
    </w:p>
    <w:p w:rsidR="00071BB1" w:rsidRDefault="00071BB1" w:rsidP="009A690D">
      <w:pPr>
        <w:pStyle w:val="Uvuenotijeloteksta"/>
        <w:spacing w:line="240" w:lineRule="auto"/>
        <w:ind w:firstLine="0"/>
      </w:pPr>
    </w:p>
    <w:p w:rsidR="009A690D" w:rsidRPr="00A12B5C" w:rsidRDefault="001606E5" w:rsidP="009A690D">
      <w:pPr>
        <w:pStyle w:val="Uvuenotijeloteksta"/>
        <w:spacing w:line="240" w:lineRule="auto"/>
        <w:ind w:firstLine="0"/>
      </w:pPr>
      <w:r w:rsidRPr="00A12B5C">
        <w:t>U sljedećoj tablici prikazano je stvarno ostvarenje namjenskih prihoda od naknada i pristojbi po Federalnim zakonima i drugim propisima, te njihovo prihodovanje i/ili razgraničavanje obzirom na namjensku potrošnju u 201</w:t>
      </w:r>
      <w:r w:rsidR="00071BB1">
        <w:t>9</w:t>
      </w:r>
      <w:r w:rsidRPr="00A12B5C">
        <w:t>. godini.</w:t>
      </w:r>
    </w:p>
    <w:p w:rsidR="001606E5" w:rsidRPr="00A12B5C" w:rsidRDefault="001606E5" w:rsidP="001606E5">
      <w:pPr>
        <w:pStyle w:val="Uvuenotijeloteksta"/>
        <w:spacing w:line="240" w:lineRule="auto"/>
        <w:ind w:firstLine="0"/>
        <w:jc w:val="right"/>
        <w:rPr>
          <w:sz w:val="16"/>
          <w:szCs w:val="16"/>
        </w:rPr>
      </w:pPr>
      <w:r w:rsidRPr="00A12B5C">
        <w:rPr>
          <w:sz w:val="16"/>
          <w:szCs w:val="16"/>
        </w:rPr>
        <w:t>u KM</w:t>
      </w:r>
    </w:p>
    <w:tbl>
      <w:tblPr>
        <w:tblStyle w:val="Reetkatablice"/>
        <w:tblW w:w="9322" w:type="dxa"/>
        <w:tblLayout w:type="fixed"/>
        <w:tblLook w:val="04A0"/>
      </w:tblPr>
      <w:tblGrid>
        <w:gridCol w:w="534"/>
        <w:gridCol w:w="5103"/>
        <w:gridCol w:w="1275"/>
        <w:gridCol w:w="1276"/>
        <w:gridCol w:w="1134"/>
      </w:tblGrid>
      <w:tr w:rsidR="001606E5" w:rsidRPr="00A12B5C" w:rsidTr="001C2647">
        <w:tc>
          <w:tcPr>
            <w:tcW w:w="534" w:type="dxa"/>
            <w:vAlign w:val="center"/>
          </w:tcPr>
          <w:p w:rsidR="001606E5" w:rsidRPr="00A12B5C" w:rsidRDefault="001606E5" w:rsidP="001C2647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A12B5C">
              <w:rPr>
                <w:b/>
                <w:sz w:val="14"/>
                <w:szCs w:val="14"/>
              </w:rPr>
              <w:t>RB</w:t>
            </w:r>
          </w:p>
        </w:tc>
        <w:tc>
          <w:tcPr>
            <w:tcW w:w="5103" w:type="dxa"/>
            <w:vAlign w:val="center"/>
          </w:tcPr>
          <w:p w:rsidR="001606E5" w:rsidRPr="00A12B5C" w:rsidRDefault="001606E5" w:rsidP="001C2647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A12B5C">
              <w:rPr>
                <w:b/>
                <w:sz w:val="14"/>
                <w:szCs w:val="14"/>
              </w:rPr>
              <w:t>Vrsta prihoda</w:t>
            </w:r>
          </w:p>
        </w:tc>
        <w:tc>
          <w:tcPr>
            <w:tcW w:w="1275" w:type="dxa"/>
            <w:vAlign w:val="center"/>
          </w:tcPr>
          <w:p w:rsidR="001606E5" w:rsidRPr="00A12B5C" w:rsidRDefault="001606E5" w:rsidP="00071BB1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A12B5C">
              <w:rPr>
                <w:b/>
                <w:sz w:val="14"/>
                <w:szCs w:val="14"/>
              </w:rPr>
              <w:t>Stvarno realizirano u</w:t>
            </w:r>
            <w:r w:rsidR="001C2647" w:rsidRPr="00A12B5C">
              <w:rPr>
                <w:b/>
                <w:sz w:val="14"/>
                <w:szCs w:val="14"/>
              </w:rPr>
              <w:t xml:space="preserve"> 201</w:t>
            </w:r>
            <w:r w:rsidR="00071BB1">
              <w:rPr>
                <w:b/>
                <w:sz w:val="14"/>
                <w:szCs w:val="14"/>
              </w:rPr>
              <w:t>9</w:t>
            </w:r>
            <w:r w:rsidRPr="00A12B5C">
              <w:rPr>
                <w:b/>
                <w:sz w:val="14"/>
                <w:szCs w:val="1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1606E5" w:rsidRPr="00A12B5C" w:rsidRDefault="00071BB1" w:rsidP="001C2647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A12B5C">
              <w:rPr>
                <w:b/>
                <w:sz w:val="14"/>
                <w:szCs w:val="14"/>
              </w:rPr>
              <w:t>Razgraničeno na 31.12.1</w:t>
            </w:r>
            <w:r>
              <w:rPr>
                <w:b/>
                <w:sz w:val="14"/>
                <w:szCs w:val="14"/>
              </w:rPr>
              <w:t>9</w:t>
            </w:r>
            <w:r w:rsidRPr="00A12B5C">
              <w:rPr>
                <w:b/>
                <w:sz w:val="14"/>
                <w:szCs w:val="14"/>
              </w:rPr>
              <w:t>.g.</w:t>
            </w:r>
          </w:p>
        </w:tc>
        <w:tc>
          <w:tcPr>
            <w:tcW w:w="1134" w:type="dxa"/>
            <w:vAlign w:val="center"/>
          </w:tcPr>
          <w:p w:rsidR="001606E5" w:rsidRPr="00A12B5C" w:rsidRDefault="00071BB1" w:rsidP="00071BB1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Ukupno priznati prihod u 2019.g.</w:t>
            </w:r>
          </w:p>
        </w:tc>
      </w:tr>
      <w:tr w:rsidR="00D27ED8" w:rsidRPr="00D27ED8" w:rsidTr="001C2647">
        <w:tc>
          <w:tcPr>
            <w:tcW w:w="534" w:type="dxa"/>
            <w:vAlign w:val="center"/>
          </w:tcPr>
          <w:p w:rsidR="00D27ED8" w:rsidRPr="00D27ED8" w:rsidRDefault="00D27ED8" w:rsidP="00D27ED8">
            <w:pPr>
              <w:pStyle w:val="Uvuenotijeloteksta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D27ED8" w:rsidRPr="00D27ED8" w:rsidRDefault="00D27ED8" w:rsidP="00D27ED8">
            <w:pPr>
              <w:pStyle w:val="Uvuenotijeloteksta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D27ED8" w:rsidRPr="00D27ED8" w:rsidRDefault="00D27ED8" w:rsidP="00D27ED8">
            <w:pPr>
              <w:pStyle w:val="Uvuenotijeloteksta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D27ED8" w:rsidRPr="00D27ED8" w:rsidRDefault="00D27ED8" w:rsidP="00D27ED8">
            <w:pPr>
              <w:pStyle w:val="Uvuenotijeloteksta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D27ED8" w:rsidRPr="00D27ED8" w:rsidRDefault="00D27ED8" w:rsidP="00D27ED8">
            <w:pPr>
              <w:pStyle w:val="Uvuenotijeloteksta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4=2-3</w:t>
            </w:r>
          </w:p>
        </w:tc>
      </w:tr>
      <w:tr w:rsidR="001606E5" w:rsidRPr="00A12B5C" w:rsidTr="001C2647">
        <w:tc>
          <w:tcPr>
            <w:tcW w:w="534" w:type="dxa"/>
            <w:vAlign w:val="center"/>
          </w:tcPr>
          <w:p w:rsidR="001606E5" w:rsidRPr="00A12B5C" w:rsidRDefault="001606E5" w:rsidP="001C2647">
            <w:pPr>
              <w:pStyle w:val="Uvuenotijelotekst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</w:tcPr>
          <w:p w:rsidR="001606E5" w:rsidRPr="00A12B5C" w:rsidRDefault="00071BB1" w:rsidP="001C2647">
            <w:pPr>
              <w:pStyle w:val="Uvuenotijeloteksta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Posebne naknade za okoliš koje plaćaju fizičke osobe pri svakoj registraciji motornih vozila (722556)</w:t>
            </w:r>
          </w:p>
        </w:tc>
        <w:tc>
          <w:tcPr>
            <w:tcW w:w="1275" w:type="dxa"/>
            <w:vAlign w:val="center"/>
          </w:tcPr>
          <w:p w:rsidR="001606E5" w:rsidRPr="00A12B5C" w:rsidRDefault="00D27ED8" w:rsidP="001C2647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123.014,83</w:t>
            </w:r>
          </w:p>
        </w:tc>
        <w:tc>
          <w:tcPr>
            <w:tcW w:w="1276" w:type="dxa"/>
            <w:vAlign w:val="center"/>
          </w:tcPr>
          <w:p w:rsidR="001606E5" w:rsidRPr="00A12B5C" w:rsidRDefault="00D27ED8" w:rsidP="001C2647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19.769,56</w:t>
            </w:r>
          </w:p>
        </w:tc>
        <w:tc>
          <w:tcPr>
            <w:tcW w:w="1134" w:type="dxa"/>
            <w:vAlign w:val="center"/>
          </w:tcPr>
          <w:p w:rsidR="001606E5" w:rsidRPr="00A12B5C" w:rsidRDefault="00D27ED8" w:rsidP="001C2647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103.245,27</w:t>
            </w:r>
          </w:p>
        </w:tc>
      </w:tr>
      <w:tr w:rsidR="001606E5" w:rsidRPr="00A12B5C" w:rsidTr="001C2647">
        <w:tc>
          <w:tcPr>
            <w:tcW w:w="534" w:type="dxa"/>
            <w:vAlign w:val="center"/>
          </w:tcPr>
          <w:p w:rsidR="001606E5" w:rsidRPr="00A12B5C" w:rsidRDefault="001606E5" w:rsidP="001C2647">
            <w:pPr>
              <w:pStyle w:val="Uvuenotijelotekst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12B5C"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1606E5" w:rsidRPr="00A12B5C" w:rsidRDefault="00D27ED8" w:rsidP="001C2647">
            <w:pPr>
              <w:pStyle w:val="Uvuenotijeloteksta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Posebna naknada za zaštitu od prirodnih i drugih nesreća gdje je osnovica sumarni iznos neto plaće za isplatu (722581)</w:t>
            </w:r>
          </w:p>
        </w:tc>
        <w:tc>
          <w:tcPr>
            <w:tcW w:w="1275" w:type="dxa"/>
            <w:vAlign w:val="center"/>
          </w:tcPr>
          <w:p w:rsidR="001606E5" w:rsidRPr="00A12B5C" w:rsidRDefault="00D27ED8" w:rsidP="001C2647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62.372,23</w:t>
            </w:r>
          </w:p>
        </w:tc>
        <w:tc>
          <w:tcPr>
            <w:tcW w:w="1276" w:type="dxa"/>
            <w:vAlign w:val="center"/>
          </w:tcPr>
          <w:p w:rsidR="001606E5" w:rsidRPr="00A12B5C" w:rsidRDefault="00D27ED8" w:rsidP="001C2647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13.757,65</w:t>
            </w:r>
          </w:p>
        </w:tc>
        <w:tc>
          <w:tcPr>
            <w:tcW w:w="1134" w:type="dxa"/>
            <w:vAlign w:val="center"/>
          </w:tcPr>
          <w:p w:rsidR="001606E5" w:rsidRPr="00A12B5C" w:rsidRDefault="00D27ED8" w:rsidP="001C2647">
            <w:pPr>
              <w:pStyle w:val="Uvuenotijeloteksta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48.614,58</w:t>
            </w:r>
          </w:p>
        </w:tc>
      </w:tr>
      <w:tr w:rsidR="001606E5" w:rsidRPr="00A12B5C" w:rsidTr="001C2647">
        <w:tc>
          <w:tcPr>
            <w:tcW w:w="534" w:type="dxa"/>
          </w:tcPr>
          <w:p w:rsidR="001606E5" w:rsidRPr="00A12B5C" w:rsidRDefault="001606E5" w:rsidP="001C2647">
            <w:pPr>
              <w:pStyle w:val="Uvuenotijeloteksta"/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606E5" w:rsidRPr="00A12B5C" w:rsidRDefault="001606E5" w:rsidP="001C2647">
            <w:pPr>
              <w:pStyle w:val="Uvuenotijeloteksta"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A12B5C">
              <w:rPr>
                <w:b/>
                <w:sz w:val="18"/>
                <w:szCs w:val="18"/>
              </w:rPr>
              <w:t>UKUPNO:</w:t>
            </w:r>
          </w:p>
        </w:tc>
        <w:tc>
          <w:tcPr>
            <w:tcW w:w="1275" w:type="dxa"/>
          </w:tcPr>
          <w:p w:rsidR="001606E5" w:rsidRPr="00A12B5C" w:rsidRDefault="00F2547B" w:rsidP="001C2647">
            <w:pPr>
              <w:pStyle w:val="Uvuenotijeloteksta"/>
              <w:spacing w:line="240" w:lineRule="auto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D27ED8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D27ED8">
              <w:rPr>
                <w:b/>
                <w:noProof/>
                <w:sz w:val="18"/>
                <w:szCs w:val="18"/>
              </w:rPr>
              <w:t>185.387,06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1606E5" w:rsidRPr="00A12B5C" w:rsidRDefault="00F2547B" w:rsidP="001C2647">
            <w:pPr>
              <w:pStyle w:val="Uvuenotijeloteksta"/>
              <w:spacing w:line="240" w:lineRule="auto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D27ED8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D27ED8">
              <w:rPr>
                <w:b/>
                <w:noProof/>
                <w:sz w:val="18"/>
                <w:szCs w:val="18"/>
              </w:rPr>
              <w:t>33.527,21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1606E5" w:rsidRPr="00A12B5C" w:rsidRDefault="00F2547B" w:rsidP="001C2647">
            <w:pPr>
              <w:pStyle w:val="Uvuenotijeloteksta"/>
              <w:spacing w:line="240" w:lineRule="auto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D27ED8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D27ED8">
              <w:rPr>
                <w:b/>
                <w:noProof/>
                <w:sz w:val="18"/>
                <w:szCs w:val="18"/>
              </w:rPr>
              <w:t>151.859,85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212735" w:rsidRDefault="00212735" w:rsidP="00D27ED8">
      <w:pPr>
        <w:pStyle w:val="Uvuenotijeloteksta"/>
        <w:spacing w:line="240" w:lineRule="auto"/>
        <w:ind w:firstLine="0"/>
      </w:pPr>
    </w:p>
    <w:p w:rsidR="00D27ED8" w:rsidRDefault="00D27ED8" w:rsidP="00D27ED8">
      <w:pPr>
        <w:pStyle w:val="Uvuenotijeloteksta"/>
        <w:spacing w:line="240" w:lineRule="auto"/>
        <w:ind w:firstLine="0"/>
      </w:pPr>
      <w:r>
        <w:t>Dakle, u 2019. godini stvarna realizacija naknada i pristojbi po Federalnim zakonima bila je za 33.527 KM veća od ukupno priznatih prihoda po ovoj osnovi.</w:t>
      </w:r>
    </w:p>
    <w:p w:rsidR="009A690D" w:rsidRPr="00A12B5C" w:rsidRDefault="009A690D" w:rsidP="009554E4">
      <w:pPr>
        <w:pStyle w:val="Uvuenotijeloteksta"/>
        <w:spacing w:line="240" w:lineRule="auto"/>
        <w:ind w:firstLine="0"/>
      </w:pPr>
    </w:p>
    <w:p w:rsidR="00D52D0E" w:rsidRPr="00A12B5C" w:rsidRDefault="00D52D0E" w:rsidP="00D52D0E">
      <w:pPr>
        <w:pStyle w:val="Uvuenotijeloteksta"/>
        <w:spacing w:line="240" w:lineRule="auto"/>
        <w:ind w:firstLine="0"/>
      </w:pPr>
      <w:r w:rsidRPr="00A12B5C">
        <w:t>Slijedi tablični i grafički prikaz strukture ostvarenih prihoda po osnovi naknada i pristojbi po Federalnim zakonima i drugim propisima.</w:t>
      </w:r>
    </w:p>
    <w:p w:rsidR="00D52D0E" w:rsidRPr="00A12B5C" w:rsidRDefault="00D52D0E" w:rsidP="00D52D0E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D52D0E" w:rsidRPr="00A12B5C" w:rsidRDefault="00D52D0E" w:rsidP="00D52D0E">
      <w:pPr>
        <w:jc w:val="both"/>
        <w:rPr>
          <w:sz w:val="20"/>
          <w:szCs w:val="20"/>
        </w:rPr>
      </w:pPr>
      <w:r w:rsidRPr="00A12B5C">
        <w:rPr>
          <w:sz w:val="20"/>
          <w:szCs w:val="20"/>
        </w:rPr>
        <w:t xml:space="preserve">Tablica </w:t>
      </w:r>
      <w:r w:rsidR="00A832B5" w:rsidRPr="00A12B5C">
        <w:rPr>
          <w:sz w:val="20"/>
          <w:szCs w:val="20"/>
        </w:rPr>
        <w:t>7</w:t>
      </w:r>
      <w:r w:rsidRPr="00A12B5C">
        <w:rPr>
          <w:sz w:val="20"/>
          <w:szCs w:val="20"/>
        </w:rPr>
        <w:t xml:space="preserve">. Struktura ostvarenih prihoda po osnovi naknada i pristojbi po Federalnim zakonima i drugim propisima Proračuna </w:t>
      </w:r>
      <w:proofErr w:type="spellStart"/>
      <w:r w:rsidRPr="00A12B5C">
        <w:rPr>
          <w:sz w:val="20"/>
          <w:szCs w:val="20"/>
        </w:rPr>
        <w:t>Žup.Posavske</w:t>
      </w:r>
      <w:proofErr w:type="spellEnd"/>
      <w:r w:rsidRPr="00A12B5C">
        <w:rPr>
          <w:sz w:val="20"/>
          <w:szCs w:val="20"/>
        </w:rPr>
        <w:t xml:space="preserve"> u 201</w:t>
      </w:r>
      <w:r w:rsidR="00D27ED8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D52D0E" w:rsidRPr="00A12B5C" w:rsidTr="00D52D0E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D52D0E" w:rsidRPr="00A12B5C" w:rsidRDefault="00D52D0E" w:rsidP="00D52D0E">
            <w:pPr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D52D0E" w:rsidRPr="00A12B5C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Ostvareno</w:t>
            </w:r>
          </w:p>
          <w:p w:rsidR="00D52D0E" w:rsidRPr="00A12B5C" w:rsidRDefault="00D52D0E" w:rsidP="00D27ED8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201</w:t>
            </w:r>
            <w:r w:rsidR="00D27ED8">
              <w:rPr>
                <w:b/>
                <w:sz w:val="22"/>
              </w:rPr>
              <w:t>9</w:t>
            </w:r>
            <w:r w:rsidRPr="00A12B5C">
              <w:rPr>
                <w:b/>
                <w:sz w:val="22"/>
              </w:rPr>
              <w:t>.g. (u KM)</w:t>
            </w:r>
          </w:p>
        </w:tc>
        <w:tc>
          <w:tcPr>
            <w:tcW w:w="1242" w:type="dxa"/>
          </w:tcPr>
          <w:p w:rsidR="00D52D0E" w:rsidRPr="00A12B5C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 xml:space="preserve">% </w:t>
            </w:r>
          </w:p>
          <w:p w:rsidR="00D52D0E" w:rsidRPr="00A12B5C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učešća</w:t>
            </w:r>
          </w:p>
        </w:tc>
      </w:tr>
      <w:tr w:rsidR="00D52D0E" w:rsidRPr="00A12B5C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2B5C" w:rsidRDefault="00D52D0E" w:rsidP="00D52D0E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Nak.i pristojbe za vet.i sanitarne preglede životinja i biljaka</w:t>
            </w:r>
          </w:p>
        </w:tc>
        <w:tc>
          <w:tcPr>
            <w:tcW w:w="2409" w:type="dxa"/>
            <w:vAlign w:val="center"/>
          </w:tcPr>
          <w:p w:rsidR="00D52D0E" w:rsidRPr="00A12B5C" w:rsidRDefault="00D27ED8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12.262</w:t>
            </w:r>
          </w:p>
        </w:tc>
        <w:tc>
          <w:tcPr>
            <w:tcW w:w="1242" w:type="dxa"/>
            <w:vAlign w:val="center"/>
          </w:tcPr>
          <w:p w:rsidR="00D52D0E" w:rsidRPr="00A12B5C" w:rsidRDefault="00D27ED8" w:rsidP="00766E3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1,47</w:t>
            </w:r>
          </w:p>
        </w:tc>
      </w:tr>
      <w:tr w:rsidR="00D52D0E" w:rsidRPr="00A12B5C" w:rsidTr="00D52D0E">
        <w:tc>
          <w:tcPr>
            <w:cnfStyle w:val="001000000000"/>
            <w:tcW w:w="5637" w:type="dxa"/>
          </w:tcPr>
          <w:p w:rsidR="00D52D0E" w:rsidRPr="00A12B5C" w:rsidRDefault="00D52D0E" w:rsidP="00D52D0E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Vodne naknade</w:t>
            </w:r>
          </w:p>
        </w:tc>
        <w:tc>
          <w:tcPr>
            <w:tcW w:w="2409" w:type="dxa"/>
            <w:vAlign w:val="center"/>
          </w:tcPr>
          <w:p w:rsidR="00D52D0E" w:rsidRPr="00A12B5C" w:rsidRDefault="00D27ED8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228.848</w:t>
            </w:r>
          </w:p>
        </w:tc>
        <w:tc>
          <w:tcPr>
            <w:tcW w:w="1242" w:type="dxa"/>
            <w:vAlign w:val="center"/>
          </w:tcPr>
          <w:p w:rsidR="00D52D0E" w:rsidRPr="00A12B5C" w:rsidRDefault="00D27ED8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27,52</w:t>
            </w:r>
          </w:p>
        </w:tc>
      </w:tr>
      <w:tr w:rsidR="00D52D0E" w:rsidRPr="00A12B5C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2B5C" w:rsidRDefault="00D52D0E" w:rsidP="00D52D0E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Cestovna naknade</w:t>
            </w:r>
          </w:p>
        </w:tc>
        <w:tc>
          <w:tcPr>
            <w:tcW w:w="2409" w:type="dxa"/>
            <w:vAlign w:val="center"/>
          </w:tcPr>
          <w:p w:rsidR="00D52D0E" w:rsidRPr="00A12B5C" w:rsidRDefault="00D27ED8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353.505</w:t>
            </w:r>
          </w:p>
        </w:tc>
        <w:tc>
          <w:tcPr>
            <w:tcW w:w="1242" w:type="dxa"/>
            <w:vAlign w:val="center"/>
          </w:tcPr>
          <w:p w:rsidR="00D52D0E" w:rsidRPr="00A12B5C" w:rsidRDefault="00D27ED8" w:rsidP="00CA0475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42,51</w:t>
            </w:r>
          </w:p>
        </w:tc>
      </w:tr>
      <w:tr w:rsidR="00D52D0E" w:rsidRPr="00A12B5C" w:rsidTr="00D52D0E">
        <w:tc>
          <w:tcPr>
            <w:cnfStyle w:val="001000000000"/>
            <w:tcW w:w="5637" w:type="dxa"/>
          </w:tcPr>
          <w:p w:rsidR="00D52D0E" w:rsidRPr="00A12B5C" w:rsidRDefault="00D52D0E" w:rsidP="00D52D0E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Zaostale obveze po osnovi naknada za korištenje šuma</w:t>
            </w:r>
          </w:p>
        </w:tc>
        <w:tc>
          <w:tcPr>
            <w:tcW w:w="2409" w:type="dxa"/>
            <w:vAlign w:val="center"/>
          </w:tcPr>
          <w:p w:rsidR="00D52D0E" w:rsidRPr="00A12B5C" w:rsidRDefault="00D27ED8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1242" w:type="dxa"/>
            <w:vAlign w:val="center"/>
          </w:tcPr>
          <w:p w:rsidR="00D52D0E" w:rsidRPr="00A12B5C" w:rsidRDefault="00D27ED8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</w:tr>
      <w:tr w:rsidR="00D52D0E" w:rsidRPr="00A12B5C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2B5C" w:rsidRDefault="00D52D0E" w:rsidP="00D52D0E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Naknada za zaštitu okoliša</w:t>
            </w:r>
          </w:p>
        </w:tc>
        <w:tc>
          <w:tcPr>
            <w:tcW w:w="2409" w:type="dxa"/>
            <w:vAlign w:val="center"/>
          </w:tcPr>
          <w:p w:rsidR="00D52D0E" w:rsidRPr="00A12B5C" w:rsidRDefault="00D27ED8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180.000</w:t>
            </w:r>
          </w:p>
        </w:tc>
        <w:tc>
          <w:tcPr>
            <w:tcW w:w="1242" w:type="dxa"/>
            <w:vAlign w:val="center"/>
          </w:tcPr>
          <w:p w:rsidR="00D52D0E" w:rsidRPr="00A12B5C" w:rsidRDefault="00D27ED8" w:rsidP="00D52D0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21,64</w:t>
            </w:r>
          </w:p>
        </w:tc>
      </w:tr>
      <w:tr w:rsidR="00D52D0E" w:rsidRPr="00A12B5C" w:rsidTr="00D52D0E">
        <w:tc>
          <w:tcPr>
            <w:cnfStyle w:val="001000000000"/>
            <w:tcW w:w="5637" w:type="dxa"/>
          </w:tcPr>
          <w:p w:rsidR="00D52D0E" w:rsidRPr="00A12B5C" w:rsidRDefault="00D52D0E" w:rsidP="00D52D0E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Posebne naknade za zaštitu od prirodnih i drugih nesreća</w:t>
            </w:r>
          </w:p>
        </w:tc>
        <w:tc>
          <w:tcPr>
            <w:tcW w:w="2409" w:type="dxa"/>
            <w:vAlign w:val="center"/>
          </w:tcPr>
          <w:p w:rsidR="00D52D0E" w:rsidRPr="00A12B5C" w:rsidRDefault="00D27ED8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56.679</w:t>
            </w:r>
          </w:p>
        </w:tc>
        <w:tc>
          <w:tcPr>
            <w:tcW w:w="1242" w:type="dxa"/>
            <w:vAlign w:val="center"/>
          </w:tcPr>
          <w:p w:rsidR="00D52D0E" w:rsidRPr="00A12B5C" w:rsidRDefault="00D27ED8" w:rsidP="00B01B3C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6,82</w:t>
            </w:r>
          </w:p>
        </w:tc>
      </w:tr>
      <w:tr w:rsidR="00D52D0E" w:rsidRPr="00A12B5C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2B5C" w:rsidRDefault="00D52D0E" w:rsidP="00D52D0E">
            <w:pPr>
              <w:jc w:val="both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D52D0E" w:rsidRPr="00A12B5C" w:rsidRDefault="00F2547B" w:rsidP="00D52D0E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D27ED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D27ED8">
              <w:rPr>
                <w:b/>
                <w:noProof/>
                <w:sz w:val="22"/>
              </w:rPr>
              <w:t>831.590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D52D0E" w:rsidRPr="00A12B5C" w:rsidRDefault="00F2547B" w:rsidP="00D52D0E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D27ED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D27ED8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D27ED8">
              <w:rPr>
                <w:b/>
                <w:sz w:val="22"/>
              </w:rPr>
              <w:t>,00</w:t>
            </w:r>
          </w:p>
        </w:tc>
      </w:tr>
    </w:tbl>
    <w:p w:rsidR="00D52D0E" w:rsidRPr="00A12B5C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</w:p>
    <w:p w:rsidR="00D52D0E" w:rsidRPr="00A12B5C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 w:rsidRPr="00A12B5C">
        <w:rPr>
          <w:noProof/>
          <w:lang w:eastAsia="hr-HR"/>
        </w:rPr>
        <w:lastRenderedPageBreak/>
        <w:drawing>
          <wp:inline distT="0" distB="0" distL="0" distR="0">
            <wp:extent cx="3706283" cy="2146300"/>
            <wp:effectExtent l="19050" t="0" r="8467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2D0E" w:rsidRPr="00A12B5C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 w:rsidRPr="00A12B5C">
        <w:rPr>
          <w:sz w:val="20"/>
          <w:szCs w:val="20"/>
        </w:rPr>
        <w:t xml:space="preserve">Graf </w:t>
      </w:r>
      <w:r w:rsidR="00A832B5" w:rsidRPr="00A12B5C">
        <w:rPr>
          <w:sz w:val="20"/>
          <w:szCs w:val="20"/>
        </w:rPr>
        <w:t>8.</w:t>
      </w:r>
      <w:r w:rsidRPr="00A12B5C">
        <w:rPr>
          <w:sz w:val="20"/>
          <w:szCs w:val="20"/>
        </w:rPr>
        <w:t xml:space="preserve"> Struktura ostv</w:t>
      </w:r>
      <w:r w:rsidR="00EF521F" w:rsidRPr="00A12B5C">
        <w:rPr>
          <w:sz w:val="20"/>
          <w:szCs w:val="20"/>
        </w:rPr>
        <w:t>.</w:t>
      </w:r>
      <w:r w:rsidRPr="00A12B5C">
        <w:rPr>
          <w:sz w:val="20"/>
          <w:szCs w:val="20"/>
        </w:rPr>
        <w:t xml:space="preserve">prihoda </w:t>
      </w:r>
      <w:r w:rsidR="0066777D" w:rsidRPr="00A12B5C">
        <w:rPr>
          <w:sz w:val="20"/>
          <w:szCs w:val="20"/>
        </w:rPr>
        <w:t xml:space="preserve">po osnovi naknada i pristojbi po </w:t>
      </w:r>
      <w:proofErr w:type="spellStart"/>
      <w:r w:rsidR="0066777D" w:rsidRPr="00A12B5C">
        <w:rPr>
          <w:sz w:val="20"/>
          <w:szCs w:val="20"/>
        </w:rPr>
        <w:t>Fed.zakonima</w:t>
      </w:r>
      <w:proofErr w:type="spellEnd"/>
      <w:r w:rsidR="0066777D" w:rsidRPr="00A12B5C">
        <w:rPr>
          <w:sz w:val="20"/>
          <w:szCs w:val="20"/>
        </w:rPr>
        <w:t xml:space="preserve"> i </w:t>
      </w:r>
      <w:proofErr w:type="spellStart"/>
      <w:r w:rsidR="0066777D" w:rsidRPr="00A12B5C">
        <w:rPr>
          <w:sz w:val="20"/>
          <w:szCs w:val="20"/>
        </w:rPr>
        <w:t>dr.propisima</w:t>
      </w:r>
      <w:proofErr w:type="spellEnd"/>
      <w:r w:rsidR="0066777D" w:rsidRPr="00A12B5C">
        <w:rPr>
          <w:sz w:val="20"/>
          <w:szCs w:val="20"/>
        </w:rPr>
        <w:t xml:space="preserve"> </w:t>
      </w:r>
      <w:r w:rsidRPr="00A12B5C">
        <w:rPr>
          <w:sz w:val="20"/>
          <w:szCs w:val="20"/>
        </w:rPr>
        <w:t>u 201</w:t>
      </w:r>
      <w:r w:rsidR="00D27ED8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p w:rsidR="003E29C8" w:rsidRPr="00A12B5C" w:rsidRDefault="003E29C8" w:rsidP="009554E4">
      <w:pPr>
        <w:pStyle w:val="Uvuenotijeloteksta"/>
        <w:spacing w:line="240" w:lineRule="auto"/>
        <w:ind w:firstLine="0"/>
      </w:pPr>
    </w:p>
    <w:p w:rsidR="00B370FF" w:rsidRPr="00A12B5C" w:rsidRDefault="009554E4" w:rsidP="009554E4">
      <w:pPr>
        <w:pStyle w:val="Uvuenotijeloteksta"/>
        <w:spacing w:line="240" w:lineRule="auto"/>
        <w:ind w:firstLine="0"/>
      </w:pPr>
      <w:r w:rsidRPr="00A12B5C">
        <w:rPr>
          <w:b/>
          <w:i/>
        </w:rPr>
        <w:t xml:space="preserve">Prihodi od pružanja javnih usluga </w:t>
      </w:r>
      <w:r w:rsidR="0066777D" w:rsidRPr="00A12B5C">
        <w:rPr>
          <w:b/>
          <w:i/>
        </w:rPr>
        <w:t>(glavna skupina 722600)</w:t>
      </w:r>
      <w:r w:rsidR="0066777D" w:rsidRPr="00A12B5C">
        <w:t xml:space="preserve"> ostvareni su u iznosu od </w:t>
      </w:r>
      <w:r w:rsidR="00D27ED8">
        <w:t>397.608</w:t>
      </w:r>
      <w:r w:rsidR="0066777D" w:rsidRPr="00A12B5C">
        <w:t xml:space="preserve"> KM, odnosno </w:t>
      </w:r>
      <w:r w:rsidR="00D27ED8">
        <w:t>98,08</w:t>
      </w:r>
      <w:r w:rsidR="0066777D" w:rsidRPr="00A12B5C">
        <w:t xml:space="preserve">% od ukupno planiranog po ovoj osnovi, pri čemu je najznačajniji prihod ostvaren po osnovi prihoda od pružanja usluga </w:t>
      </w:r>
      <w:r w:rsidR="00576C8F" w:rsidRPr="00A12B5C">
        <w:t xml:space="preserve">građanima (analitički konto 722611) u iznosu od </w:t>
      </w:r>
      <w:r w:rsidR="00D27ED8">
        <w:t>125.212</w:t>
      </w:r>
      <w:r w:rsidR="00576C8F" w:rsidRPr="00A12B5C">
        <w:t xml:space="preserve"> KM, </w:t>
      </w:r>
      <w:r w:rsidR="00D27ED8">
        <w:t xml:space="preserve">te </w:t>
      </w:r>
      <w:r w:rsidR="00D27ED8" w:rsidRPr="00A12B5C">
        <w:t xml:space="preserve">prihoda od pružanja usluga drugim razinama vlasti (analitički konto 722621) u iznosu od </w:t>
      </w:r>
      <w:r w:rsidR="00D27ED8">
        <w:t>124.352 KM</w:t>
      </w:r>
      <w:r w:rsidR="0066777D" w:rsidRPr="00A12B5C">
        <w:t xml:space="preserve">. </w:t>
      </w:r>
      <w:r w:rsidR="00EF521F" w:rsidRPr="00A12B5C">
        <w:t>U</w:t>
      </w:r>
      <w:r w:rsidR="0066777D" w:rsidRPr="00A12B5C">
        <w:t xml:space="preserve"> odnosu na ostvarenje u </w:t>
      </w:r>
      <w:r w:rsidR="00EF521F" w:rsidRPr="00A12B5C">
        <w:t>prethodnoj</w:t>
      </w:r>
      <w:r w:rsidR="0066777D" w:rsidRPr="00A12B5C">
        <w:t xml:space="preserve"> godin</w:t>
      </w:r>
      <w:r w:rsidR="00EF521F" w:rsidRPr="00A12B5C">
        <w:t xml:space="preserve">i uočava se </w:t>
      </w:r>
      <w:r w:rsidR="00D27ED8">
        <w:t>smanjenje</w:t>
      </w:r>
      <w:r w:rsidR="00EF521F" w:rsidRPr="00A12B5C">
        <w:t xml:space="preserve"> </w:t>
      </w:r>
      <w:r w:rsidR="00DB7B36" w:rsidRPr="00A12B5C">
        <w:t>od</w:t>
      </w:r>
      <w:r w:rsidR="0066777D" w:rsidRPr="00A12B5C">
        <w:t xml:space="preserve"> </w:t>
      </w:r>
      <w:r w:rsidR="00D27ED8">
        <w:t>15,20</w:t>
      </w:r>
      <w:r w:rsidR="0066777D" w:rsidRPr="00A12B5C">
        <w:t>%</w:t>
      </w:r>
      <w:r w:rsidR="00CA0475" w:rsidRPr="00A12B5C">
        <w:t>,</w:t>
      </w:r>
      <w:r w:rsidR="0066777D" w:rsidRPr="00A12B5C">
        <w:t xml:space="preserve"> odnosno </w:t>
      </w:r>
      <w:r w:rsidR="000D5396" w:rsidRPr="00A12B5C">
        <w:t xml:space="preserve">u apsolutnom iznosu </w:t>
      </w:r>
      <w:r w:rsidR="00D27ED8">
        <w:t>smanjenje</w:t>
      </w:r>
      <w:r w:rsidR="000D5396" w:rsidRPr="00A12B5C">
        <w:t xml:space="preserve"> </w:t>
      </w:r>
      <w:r w:rsidR="0066777D" w:rsidRPr="00A12B5C">
        <w:t xml:space="preserve">za </w:t>
      </w:r>
      <w:r w:rsidR="001A4C39">
        <w:t>71.293</w:t>
      </w:r>
      <w:r w:rsidR="0066777D" w:rsidRPr="00A12B5C">
        <w:t xml:space="preserve"> KM.</w:t>
      </w:r>
      <w:r w:rsidR="00EF521F" w:rsidRPr="00A12B5C">
        <w:t xml:space="preserve"> </w:t>
      </w:r>
      <w:r w:rsidR="00B370FF" w:rsidRPr="00A12B5C">
        <w:t>Analizirajući strukturu ovih prihoda zaključuje se da:</w:t>
      </w:r>
    </w:p>
    <w:p w:rsidR="0066777D" w:rsidRPr="00294AC7" w:rsidRDefault="00B370FF" w:rsidP="00B370FF">
      <w:pPr>
        <w:pStyle w:val="Uvuenotijeloteksta"/>
        <w:numPr>
          <w:ilvl w:val="0"/>
          <w:numId w:val="33"/>
        </w:numPr>
        <w:spacing w:line="240" w:lineRule="auto"/>
      </w:pPr>
      <w:r w:rsidRPr="00294AC7">
        <w:t>najveći postotak prihoda od pružanja usluga građanima</w:t>
      </w:r>
      <w:r w:rsidR="00294AC7" w:rsidRPr="00294AC7">
        <w:t xml:space="preserve"> (</w:t>
      </w:r>
      <w:r w:rsidR="00294AC7">
        <w:t>podgrupa 722610</w:t>
      </w:r>
      <w:r w:rsidR="00294AC7" w:rsidRPr="00294AC7">
        <w:t>)</w:t>
      </w:r>
      <w:r w:rsidRPr="00294AC7">
        <w:t xml:space="preserve"> ostvaril</w:t>
      </w:r>
      <w:r w:rsidR="00294AC7" w:rsidRPr="00294AC7">
        <w:t>i su:</w:t>
      </w:r>
      <w:r w:rsidRPr="00294AC7">
        <w:t xml:space="preserve"> Ministarstvo prosvjete znanosti kulture i športa (</w:t>
      </w:r>
      <w:r w:rsidR="00294AC7">
        <w:t>38,76</w:t>
      </w:r>
      <w:r w:rsidRPr="00294AC7">
        <w:t>% ukupnih prihoda od pružanja usluga građanima),</w:t>
      </w:r>
      <w:r w:rsidR="00294AC7" w:rsidRPr="00294AC7">
        <w:t xml:space="preserve"> </w:t>
      </w:r>
      <w:r w:rsidR="00294AC7">
        <w:t xml:space="preserve">Ministarstvo zdravstva, rada i socijalne politike (27,51% </w:t>
      </w:r>
      <w:r w:rsidR="00294AC7" w:rsidRPr="00294AC7">
        <w:t>ukupnih prihoda od pružanja usluga građanima</w:t>
      </w:r>
      <w:r w:rsidR="00294AC7">
        <w:t xml:space="preserve">), i </w:t>
      </w:r>
      <w:r w:rsidR="00294AC7" w:rsidRPr="00294AC7">
        <w:t>Ministarstvo unutarnjih poslova (</w:t>
      </w:r>
      <w:r w:rsidR="00294AC7">
        <w:t>12,49</w:t>
      </w:r>
      <w:r w:rsidR="00294AC7" w:rsidRPr="00294AC7">
        <w:t>% ukupnih prihoda od pružanja usluga građanima),</w:t>
      </w:r>
    </w:p>
    <w:p w:rsidR="00B370FF" w:rsidRPr="00294AC7" w:rsidRDefault="00294AC7" w:rsidP="00B370FF">
      <w:pPr>
        <w:pStyle w:val="Uvuenotijeloteksta"/>
        <w:numPr>
          <w:ilvl w:val="0"/>
          <w:numId w:val="33"/>
        </w:numPr>
        <w:spacing w:line="240" w:lineRule="auto"/>
      </w:pPr>
      <w:r w:rsidRPr="00294AC7">
        <w:t>cjelokupni iznos</w:t>
      </w:r>
      <w:r w:rsidR="00B370FF" w:rsidRPr="00294AC7">
        <w:t xml:space="preserve"> prihoda od pružanja usluga drugim razinama vlasti </w:t>
      </w:r>
      <w:r w:rsidRPr="00294AC7">
        <w:t xml:space="preserve">(podgrupa 722620) </w:t>
      </w:r>
      <w:r w:rsidR="00B370FF" w:rsidRPr="00294AC7">
        <w:t>ostvarilo je Ministarstvo unutarnjih poslova,</w:t>
      </w:r>
    </w:p>
    <w:p w:rsidR="00B370FF" w:rsidRDefault="00B370FF" w:rsidP="00B370FF">
      <w:pPr>
        <w:pStyle w:val="Uvuenotijeloteksta"/>
        <w:numPr>
          <w:ilvl w:val="0"/>
          <w:numId w:val="33"/>
        </w:numPr>
        <w:spacing w:line="240" w:lineRule="auto"/>
      </w:pPr>
      <w:r w:rsidRPr="00A07870">
        <w:t>najveći postotak vlastitih prihoda</w:t>
      </w:r>
      <w:r w:rsidR="00294AC7" w:rsidRPr="00A07870">
        <w:t xml:space="preserve"> (podgrupa 722630)</w:t>
      </w:r>
      <w:r w:rsidRPr="00A07870">
        <w:t xml:space="preserve"> ostvar</w:t>
      </w:r>
      <w:r w:rsidR="00A07870" w:rsidRPr="00A07870">
        <w:t>uju srednje škole te dio osnovnih škola (25,87% ukupnih vlas</w:t>
      </w:r>
      <w:r w:rsidRPr="00A07870">
        <w:t xml:space="preserve">titih </w:t>
      </w:r>
      <w:r w:rsidR="00A07870">
        <w:t xml:space="preserve">prihoda proračunskih korisnika), dok se iznosi vlastitih prihoda: Skupštine Županije Posavske, Ministarstva unutarnjih poslova, Općinskog suda Orašje, Ministarstva zdravstva, rada i socijalne </w:t>
      </w:r>
      <w:proofErr w:type="spellStart"/>
      <w:r w:rsidR="00A07870">
        <w:t>poltitike</w:t>
      </w:r>
      <w:proofErr w:type="spellEnd"/>
      <w:r w:rsidR="00A07870">
        <w:t>, te Ministarstva poljoprivrede, vodoprivrede i šumarstva kreću na godišnjoj razini između 3.200 i 4.850 KM.</w:t>
      </w:r>
    </w:p>
    <w:p w:rsidR="00212735" w:rsidRPr="00A07870" w:rsidRDefault="00212735" w:rsidP="00212735">
      <w:pPr>
        <w:pStyle w:val="Uvuenotijeloteksta"/>
        <w:spacing w:line="240" w:lineRule="auto"/>
        <w:ind w:left="720" w:firstLine="0"/>
      </w:pPr>
    </w:p>
    <w:p w:rsidR="009554E4" w:rsidRPr="00A12B5C" w:rsidRDefault="0066777D" w:rsidP="009554E4">
      <w:pPr>
        <w:pStyle w:val="Uvuenotijeloteksta"/>
        <w:spacing w:line="240" w:lineRule="auto"/>
        <w:ind w:firstLine="0"/>
      </w:pPr>
      <w:r w:rsidRPr="00A12B5C">
        <w:rPr>
          <w:b/>
          <w:i/>
        </w:rPr>
        <w:t>N</w:t>
      </w:r>
      <w:r w:rsidR="009554E4" w:rsidRPr="00A12B5C">
        <w:rPr>
          <w:b/>
          <w:i/>
        </w:rPr>
        <w:t>eplanirane uplate – prihodi (glavn</w:t>
      </w:r>
      <w:r w:rsidRPr="00A12B5C">
        <w:rPr>
          <w:b/>
          <w:i/>
        </w:rPr>
        <w:t>a</w:t>
      </w:r>
      <w:r w:rsidR="009554E4" w:rsidRPr="00A12B5C">
        <w:rPr>
          <w:b/>
          <w:i/>
        </w:rPr>
        <w:t xml:space="preserve"> skupin</w:t>
      </w:r>
      <w:r w:rsidRPr="00A12B5C">
        <w:rPr>
          <w:b/>
          <w:i/>
        </w:rPr>
        <w:t>a</w:t>
      </w:r>
      <w:r w:rsidR="009554E4" w:rsidRPr="00A12B5C">
        <w:rPr>
          <w:b/>
          <w:i/>
        </w:rPr>
        <w:t xml:space="preserve"> 722700)</w:t>
      </w:r>
      <w:r w:rsidR="009554E4" w:rsidRPr="00A12B5C">
        <w:t xml:space="preserve"> ostvareni su u iznosu od </w:t>
      </w:r>
      <w:r w:rsidR="001A4C39">
        <w:t>37.597</w:t>
      </w:r>
      <w:r w:rsidR="009554E4" w:rsidRPr="00A12B5C">
        <w:t xml:space="preserve"> KM, odnosno </w:t>
      </w:r>
      <w:r w:rsidR="001A4C39">
        <w:t>71,72</w:t>
      </w:r>
      <w:r w:rsidR="009554E4" w:rsidRPr="00A12B5C">
        <w:t xml:space="preserve">% od ukupno planiranog po ovoj osnovi, </w:t>
      </w:r>
      <w:r w:rsidR="00AA029B" w:rsidRPr="00A12B5C">
        <w:t>i odnosi se na prihode od naplate</w:t>
      </w:r>
      <w:r w:rsidR="001A4C39">
        <w:t xml:space="preserve"> premije osiguranja</w:t>
      </w:r>
      <w:r w:rsidR="00AA029B" w:rsidRPr="00A12B5C">
        <w:t xml:space="preserve"> (analitički konto 7227</w:t>
      </w:r>
      <w:r w:rsidR="001A4C39">
        <w:t>41</w:t>
      </w:r>
      <w:r w:rsidR="00AA029B" w:rsidRPr="00A12B5C">
        <w:t xml:space="preserve">), </w:t>
      </w:r>
      <w:r w:rsidR="001A4C39">
        <w:t xml:space="preserve">te </w:t>
      </w:r>
      <w:r w:rsidR="00AA029B" w:rsidRPr="00A12B5C">
        <w:t>prihod</w:t>
      </w:r>
      <w:r w:rsidR="001A4C39">
        <w:t>e</w:t>
      </w:r>
      <w:r w:rsidR="00AA029B" w:rsidRPr="00A12B5C">
        <w:t xml:space="preserve"> ostvaren</w:t>
      </w:r>
      <w:r w:rsidR="001A4C39">
        <w:t>e</w:t>
      </w:r>
      <w:r w:rsidR="00AA029B" w:rsidRPr="00A12B5C">
        <w:t xml:space="preserve"> po osnovi ostalih neplaniranih uplata (analitički konto 722791). U odnosu na ostvarenje u 201</w:t>
      </w:r>
      <w:r w:rsidR="001A4C39">
        <w:t>8</w:t>
      </w:r>
      <w:r w:rsidR="00AA029B" w:rsidRPr="00A12B5C">
        <w:t xml:space="preserve">. godini ostvarenje neplaniranih uplata – prihoda veće je za </w:t>
      </w:r>
      <w:r w:rsidR="001A4C39">
        <w:t>35.099</w:t>
      </w:r>
      <w:r w:rsidR="00AA029B" w:rsidRPr="00A12B5C">
        <w:t xml:space="preserve"> KM</w:t>
      </w:r>
      <w:r w:rsidR="000D5396" w:rsidRPr="00A12B5C">
        <w:t>.</w:t>
      </w:r>
      <w:r w:rsidR="001A4C39">
        <w:t xml:space="preserve"> Povećanje se odnosi na evidentirane</w:t>
      </w:r>
      <w:r w:rsidR="001A4C39" w:rsidRPr="00875656">
        <w:t xml:space="preserve"> </w:t>
      </w:r>
      <w:r w:rsidR="001A4C39" w:rsidRPr="00C815CF">
        <w:t>povrat</w:t>
      </w:r>
      <w:r w:rsidR="001A4C39">
        <w:t>e</w:t>
      </w:r>
      <w:r w:rsidR="001A4C39" w:rsidRPr="00C815CF">
        <w:t xml:space="preserve"> od </w:t>
      </w:r>
      <w:proofErr w:type="spellStart"/>
      <w:r w:rsidR="001A4C39" w:rsidRPr="00C815CF">
        <w:t>akciza</w:t>
      </w:r>
      <w:proofErr w:type="spellEnd"/>
      <w:r w:rsidR="001A4C39" w:rsidRPr="00C815CF">
        <w:t xml:space="preserve"> na naftu i naftne derivate osnovnih škola.</w:t>
      </w:r>
    </w:p>
    <w:p w:rsidR="009554E4" w:rsidRPr="00A12B5C" w:rsidRDefault="009554E4" w:rsidP="009554E4">
      <w:pPr>
        <w:pStyle w:val="Uvuenotijeloteksta"/>
        <w:spacing w:line="240" w:lineRule="auto"/>
        <w:rPr>
          <w:sz w:val="16"/>
          <w:szCs w:val="16"/>
        </w:rPr>
      </w:pPr>
    </w:p>
    <w:p w:rsidR="009554E4" w:rsidRPr="00A12B5C" w:rsidRDefault="009554E4" w:rsidP="009554E4">
      <w:pPr>
        <w:pStyle w:val="Uvuenotijeloteksta"/>
        <w:spacing w:line="240" w:lineRule="auto"/>
        <w:ind w:firstLine="0"/>
      </w:pPr>
      <w:r w:rsidRPr="00A12B5C">
        <w:rPr>
          <w:b/>
        </w:rPr>
        <w:t>Novčane kazne (potkategorija 723000)</w:t>
      </w:r>
      <w:r w:rsidRPr="00A12B5C">
        <w:t xml:space="preserve"> ostvarene su u iznosu od </w:t>
      </w:r>
      <w:r w:rsidR="001A4C39">
        <w:t>628.302</w:t>
      </w:r>
      <w:r w:rsidRPr="00A12B5C">
        <w:t xml:space="preserve"> KM, odnosno </w:t>
      </w:r>
      <w:r w:rsidR="001A4C39">
        <w:t>105,01</w:t>
      </w:r>
      <w:r w:rsidRPr="00A12B5C">
        <w:t>% ukupno planiranih prihoda po ovoj namjeni</w:t>
      </w:r>
      <w:r w:rsidR="001A4C39">
        <w:t>,</w:t>
      </w:r>
      <w:r w:rsidR="00EF521F" w:rsidRPr="00A12B5C">
        <w:t xml:space="preserve"> ili u apsolutnom iznosu </w:t>
      </w:r>
      <w:r w:rsidR="001A4C39">
        <w:t>29.962</w:t>
      </w:r>
      <w:r w:rsidR="00EF521F" w:rsidRPr="00A12B5C">
        <w:t xml:space="preserve"> KM </w:t>
      </w:r>
      <w:r w:rsidR="001A4C39">
        <w:t>više</w:t>
      </w:r>
      <w:r w:rsidR="00EF521F" w:rsidRPr="00A12B5C">
        <w:t xml:space="preserve"> od plana</w:t>
      </w:r>
      <w:r w:rsidRPr="00A12B5C">
        <w:t>. U usporedbi s fiskaln</w:t>
      </w:r>
      <w:r w:rsidR="00EF521F" w:rsidRPr="00A12B5C">
        <w:t>om</w:t>
      </w:r>
      <w:r w:rsidRPr="00A12B5C">
        <w:t xml:space="preserve"> 201</w:t>
      </w:r>
      <w:r w:rsidR="001A4C39">
        <w:t>8</w:t>
      </w:r>
      <w:r w:rsidR="00EF521F" w:rsidRPr="00A12B5C">
        <w:t>. godinom</w:t>
      </w:r>
      <w:r w:rsidRPr="00A12B5C">
        <w:t xml:space="preserve"> ovdje se radi o </w:t>
      </w:r>
      <w:r w:rsidR="001A4C39">
        <w:t>povećanju</w:t>
      </w:r>
      <w:r w:rsidRPr="00A12B5C">
        <w:t xml:space="preserve"> </w:t>
      </w:r>
      <w:r w:rsidR="00AA029B" w:rsidRPr="00A12B5C">
        <w:t>od</w:t>
      </w:r>
      <w:r w:rsidR="000630C6" w:rsidRPr="00A12B5C">
        <w:t xml:space="preserve"> </w:t>
      </w:r>
      <w:r w:rsidR="001A4C39">
        <w:t>39,33</w:t>
      </w:r>
      <w:r w:rsidRPr="00A12B5C">
        <w:t>%</w:t>
      </w:r>
      <w:r w:rsidR="000630C6" w:rsidRPr="00A12B5C">
        <w:t>,</w:t>
      </w:r>
      <w:r w:rsidRPr="00A12B5C">
        <w:t xml:space="preserve"> i to najvećim dijelom na analitičkom kontu 723123 – Novčane kazne za prekršaje koje su registrirane u registru novčanih kazni (</w:t>
      </w:r>
      <w:r w:rsidR="001A4C39">
        <w:t>više</w:t>
      </w:r>
      <w:r w:rsidRPr="00A12B5C">
        <w:t xml:space="preserve"> za </w:t>
      </w:r>
      <w:r w:rsidR="001A4C39">
        <w:t>177.639</w:t>
      </w:r>
      <w:r w:rsidR="000D5396" w:rsidRPr="00A12B5C">
        <w:t xml:space="preserve"> KM</w:t>
      </w:r>
      <w:r w:rsidRPr="00A12B5C">
        <w:t xml:space="preserve"> u apsolutnom iznosu</w:t>
      </w:r>
      <w:r w:rsidR="000630C6" w:rsidRPr="00A12B5C">
        <w:t>,</w:t>
      </w:r>
      <w:r w:rsidR="003431B6" w:rsidRPr="00A12B5C">
        <w:t xml:space="preserve"> odnosno za </w:t>
      </w:r>
      <w:r w:rsidR="001A4C39">
        <w:t>40,10</w:t>
      </w:r>
      <w:r w:rsidR="003431B6" w:rsidRPr="00A12B5C">
        <w:t>% u relativnom iznosu</w:t>
      </w:r>
      <w:r w:rsidRPr="00A12B5C">
        <w:t>).</w:t>
      </w:r>
    </w:p>
    <w:p w:rsidR="009F215C" w:rsidRPr="00A12B5C" w:rsidRDefault="009F215C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AA029B" w:rsidRPr="00A12B5C" w:rsidRDefault="00AA029B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9554E4" w:rsidRPr="00A12B5C" w:rsidRDefault="00AD16F2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  <w:r w:rsidRPr="00A12B5C">
        <w:rPr>
          <w:b/>
          <w:bCs/>
          <w:i/>
        </w:rPr>
        <w:lastRenderedPageBreak/>
        <w:t>1.</w:t>
      </w:r>
      <w:r w:rsidR="009554E4" w:rsidRPr="00A12B5C">
        <w:rPr>
          <w:b/>
          <w:bCs/>
          <w:i/>
        </w:rPr>
        <w:t xml:space="preserve">3 </w:t>
      </w:r>
      <w:r w:rsidR="009554E4" w:rsidRPr="00A12B5C">
        <w:rPr>
          <w:b/>
          <w:bCs/>
          <w:i/>
        </w:rPr>
        <w:tab/>
        <w:t>TEKUĆ</w:t>
      </w:r>
      <w:r w:rsidR="00174B34" w:rsidRPr="00A12B5C">
        <w:rPr>
          <w:b/>
          <w:bCs/>
          <w:i/>
        </w:rPr>
        <w:t>I</w:t>
      </w:r>
      <w:r w:rsidR="009554E4" w:rsidRPr="00A12B5C">
        <w:rPr>
          <w:b/>
          <w:bCs/>
          <w:i/>
        </w:rPr>
        <w:t xml:space="preserve"> </w:t>
      </w:r>
      <w:r w:rsidR="00174B34" w:rsidRPr="00A12B5C">
        <w:rPr>
          <w:b/>
          <w:bCs/>
          <w:i/>
        </w:rPr>
        <w:t>GRANTOVI (GRANTOVI I DONACIJE)</w:t>
      </w:r>
    </w:p>
    <w:p w:rsidR="009554E4" w:rsidRPr="00A12B5C" w:rsidRDefault="009554E4" w:rsidP="009554E4">
      <w:pPr>
        <w:pStyle w:val="Uvuenotijeloteksta"/>
        <w:spacing w:line="240" w:lineRule="auto"/>
        <w:jc w:val="left"/>
      </w:pPr>
    </w:p>
    <w:p w:rsidR="00A57316" w:rsidRPr="00A12B5C" w:rsidRDefault="00A57316" w:rsidP="00A57316">
      <w:pPr>
        <w:pStyle w:val="Uvuenotijeloteksta"/>
        <w:spacing w:after="120" w:line="240" w:lineRule="auto"/>
        <w:ind w:firstLine="0"/>
      </w:pPr>
      <w:r w:rsidRPr="00A12B5C">
        <w:t xml:space="preserve">Tekući grantovi (kategorija 730000) ostvareni su u visini od </w:t>
      </w:r>
      <w:r w:rsidR="003543DC">
        <w:t>968.494</w:t>
      </w:r>
      <w:r w:rsidRPr="00A12B5C">
        <w:t xml:space="preserve"> KM, i odnose se na:</w:t>
      </w:r>
    </w:p>
    <w:p w:rsidR="00A57316" w:rsidRPr="00A12B5C" w:rsidRDefault="00A57316" w:rsidP="003543DC">
      <w:pPr>
        <w:pStyle w:val="Uvuenotijeloteksta"/>
        <w:numPr>
          <w:ilvl w:val="0"/>
          <w:numId w:val="34"/>
        </w:numPr>
        <w:spacing w:after="120" w:line="240" w:lineRule="auto"/>
        <w:ind w:left="714" w:hanging="357"/>
      </w:pPr>
      <w:r w:rsidRPr="00A12B5C">
        <w:t xml:space="preserve">primljene tekuće grantove od inozemnih vlada i međunarodnih organizacija (potkategorija 731000) u iznosu od </w:t>
      </w:r>
      <w:r w:rsidR="003543DC">
        <w:t>224</w:t>
      </w:r>
      <w:r w:rsidRPr="00A12B5C">
        <w:t xml:space="preserve"> KM</w:t>
      </w:r>
      <w:r w:rsidR="00AE0E5A" w:rsidRPr="00A12B5C">
        <w:t xml:space="preserve">, </w:t>
      </w:r>
      <w:r w:rsidR="003543DC">
        <w:t xml:space="preserve">a odnosi se na namjenski utrošeni dio </w:t>
      </w:r>
      <w:r w:rsidRPr="00A12B5C">
        <w:t>drug</w:t>
      </w:r>
      <w:r w:rsidR="003543DC">
        <w:t>e</w:t>
      </w:r>
      <w:r w:rsidRPr="00A12B5C">
        <w:t xml:space="preserve"> tranš</w:t>
      </w:r>
      <w:r w:rsidR="003543DC">
        <w:t>e</w:t>
      </w:r>
      <w:r w:rsidRPr="00A12B5C">
        <w:t xml:space="preserve"> </w:t>
      </w:r>
      <w:proofErr w:type="spellStart"/>
      <w:r w:rsidRPr="00A12B5C">
        <w:t>prefinanciranja</w:t>
      </w:r>
      <w:proofErr w:type="spellEnd"/>
      <w:r w:rsidRPr="00A12B5C">
        <w:t xml:space="preserve"> za razdoblje 01.01.2018.-06.02.2019. godine po Internom financijskom memorandumu o razumijevanju o zajedničkim aktivnostima u cilju realizacije odredaba Grant sporazuma „Unaprjeđenje rada na predmetima ratnih zločina u BiH“ od 15.02.2017. godine, potpisanom između Ministarstva financija i trezora Bosne i Hercegovine, Kantonalnog tužiteljstva Posavskog kantona i Ministarstva financija Županije Posavske</w:t>
      </w:r>
      <w:r w:rsidR="003543DC">
        <w:t>;</w:t>
      </w:r>
    </w:p>
    <w:p w:rsidR="00A57316" w:rsidRPr="00A12B5C" w:rsidRDefault="00A57316" w:rsidP="00A57316">
      <w:pPr>
        <w:pStyle w:val="Uvuenotijeloteksta"/>
        <w:numPr>
          <w:ilvl w:val="0"/>
          <w:numId w:val="34"/>
        </w:numPr>
        <w:spacing w:after="120" w:line="240" w:lineRule="auto"/>
        <w:ind w:left="714" w:hanging="357"/>
      </w:pPr>
      <w:r w:rsidRPr="00A12B5C">
        <w:t xml:space="preserve">primljene tekuće </w:t>
      </w:r>
      <w:proofErr w:type="spellStart"/>
      <w:r w:rsidRPr="00A12B5C">
        <w:t>grantove</w:t>
      </w:r>
      <w:proofErr w:type="spellEnd"/>
      <w:r w:rsidRPr="00A12B5C">
        <w:t xml:space="preserve"> od ostalih razina vlasti (potkategorija 732000) u ukupnom iznosu od </w:t>
      </w:r>
      <w:r w:rsidR="003543DC">
        <w:t>968.270</w:t>
      </w:r>
      <w:r w:rsidRPr="00A12B5C">
        <w:t xml:space="preserve"> KM, kako slijedi:</w:t>
      </w:r>
    </w:p>
    <w:p w:rsidR="003543DC" w:rsidRDefault="003543DC" w:rsidP="003543DC">
      <w:pPr>
        <w:pStyle w:val="Uvuenotijeloteksta"/>
        <w:numPr>
          <w:ilvl w:val="0"/>
          <w:numId w:val="42"/>
        </w:numPr>
        <w:spacing w:line="240" w:lineRule="auto"/>
      </w:pPr>
      <w:r w:rsidRPr="00942C0F">
        <w:t xml:space="preserve">sredstva iz Proračuna </w:t>
      </w:r>
      <w:proofErr w:type="spellStart"/>
      <w:r w:rsidRPr="00942C0F">
        <w:t>FBiH</w:t>
      </w:r>
      <w:proofErr w:type="spellEnd"/>
      <w:r w:rsidRPr="00942C0F">
        <w:t xml:space="preserve"> Ministarstvu zdravstva, rada i socijalne politike za</w:t>
      </w:r>
      <w:r w:rsidRPr="00B10CC9">
        <w:t xml:space="preserve"> primjenu Zakona o osnovama socijalne zaštite, zaštite civilnih žrtava rata i zaštite porodica s djecom  </w:t>
      </w:r>
      <w:r>
        <w:t xml:space="preserve">(«Službene novine Federacije Bosne i Hercegovine», broj 36/99, 54/04, 39/06 i 14/09), u iznosu od 260.510 KM, </w:t>
      </w:r>
    </w:p>
    <w:p w:rsidR="003543DC" w:rsidRPr="00737330" w:rsidRDefault="003543DC" w:rsidP="003543DC">
      <w:pPr>
        <w:pStyle w:val="Uvuenotijeloteksta"/>
        <w:numPr>
          <w:ilvl w:val="0"/>
          <w:numId w:val="42"/>
        </w:numPr>
        <w:spacing w:line="240" w:lineRule="auto"/>
      </w:pPr>
      <w:r w:rsidRPr="00737330">
        <w:t>tekuća potpora Ministarstvu prosvjete, znanosti, kulture i športa Županije Posavske od Federalnog ministarstva obrazovanja i nauke na osnovi Ugovora o financiranju/sufinanciranju nabavke besplatnih udžbenika za učenike drugih razreda devetogodišnjeg osnovnog obrazovanja, prvenstveno za one koji su u stanju socijalne potrebe, broj: 06-38-607-3/19 od 10.06.2019. godine u iznosu od 8.160 KM,</w:t>
      </w:r>
    </w:p>
    <w:p w:rsidR="003543DC" w:rsidRDefault="003543DC" w:rsidP="003543DC">
      <w:pPr>
        <w:pStyle w:val="Uvuenotijeloteksta"/>
        <w:numPr>
          <w:ilvl w:val="0"/>
          <w:numId w:val="42"/>
        </w:numPr>
        <w:spacing w:line="240" w:lineRule="auto"/>
      </w:pPr>
      <w:r w:rsidRPr="0082153E">
        <w:t>tekuća potpora Proračunu Županije Posavske na temelju Odluke o raspodjeli sredstava utvrđenih Proračunom Federacije Bosne i Hercegovine za 2019. godinu Federalnom ministarstvu financija s pozicije „Tekući transferi drugim razinama vlasti i fondovima – kantoni i općine“ kantoni („Službene novine Federacije BiH“, broj: 47/19) u iznosu od 670.000 KM,</w:t>
      </w:r>
    </w:p>
    <w:p w:rsidR="003543DC" w:rsidRPr="00935BF7" w:rsidRDefault="003543DC" w:rsidP="003543DC">
      <w:pPr>
        <w:pStyle w:val="Uvuenotijeloteksta"/>
        <w:numPr>
          <w:ilvl w:val="0"/>
          <w:numId w:val="42"/>
        </w:numPr>
        <w:spacing w:line="240" w:lineRule="auto"/>
      </w:pPr>
      <w:r w:rsidRPr="00935BF7">
        <w:t>primljeni tekući grant od Skupštine Brčko Distrikta upućen Vladi Županije Posavske na osnovi Odluke o odobravanju isplate novčanih sredstava, broj: 01.8-13-0850/19 od 20.08.2019. godine u iznosu od 5.000 KM, a u svrhu organizacije manifestacije Večer Hercegovine u Posavini,</w:t>
      </w:r>
      <w:r>
        <w:t xml:space="preserve"> i</w:t>
      </w:r>
    </w:p>
    <w:p w:rsidR="003543DC" w:rsidRDefault="003543DC" w:rsidP="003543DC">
      <w:pPr>
        <w:pStyle w:val="Uvuenotijeloteksta"/>
        <w:numPr>
          <w:ilvl w:val="0"/>
          <w:numId w:val="42"/>
        </w:numPr>
        <w:spacing w:line="240" w:lineRule="auto"/>
      </w:pPr>
      <w:r>
        <w:t xml:space="preserve">Grant od Federalnog zavoda za zapošljavanje </w:t>
      </w:r>
      <w:r w:rsidRPr="00A12B5C">
        <w:t>na temelju Programa sufinanciranja zapošljavanja odgovarajućih stručnih kadrova za djecu s poteškoćama u razvoju u osnovnom obrazovanju u iznosu od</w:t>
      </w:r>
      <w:r>
        <w:t xml:space="preserve"> 24.600 KM. </w:t>
      </w:r>
    </w:p>
    <w:p w:rsidR="00A57316" w:rsidRPr="00A12B5C" w:rsidRDefault="00A57316" w:rsidP="00A57316">
      <w:pPr>
        <w:pStyle w:val="Default"/>
        <w:jc w:val="both"/>
      </w:pPr>
    </w:p>
    <w:p w:rsidR="00A57316" w:rsidRPr="00A12B5C" w:rsidRDefault="00A57316" w:rsidP="00A57316">
      <w:pPr>
        <w:pStyle w:val="Uvuenotijeloteksta"/>
        <w:spacing w:line="240" w:lineRule="auto"/>
        <w:ind w:firstLine="0"/>
      </w:pPr>
      <w:r w:rsidRPr="00A12B5C">
        <w:t>U odnosu na planirane tekuće potpore u 201</w:t>
      </w:r>
      <w:r w:rsidR="003543DC">
        <w:t>9</w:t>
      </w:r>
      <w:r w:rsidRPr="00A12B5C">
        <w:t xml:space="preserve">. godini ostvarenje iznosi </w:t>
      </w:r>
      <w:r w:rsidR="003543DC">
        <w:t>53,05</w:t>
      </w:r>
      <w:r w:rsidRPr="00A12B5C">
        <w:t xml:space="preserve">%, odnosno ostvareno je u apsolutnom iznosu </w:t>
      </w:r>
      <w:r w:rsidR="003543DC">
        <w:t>857.256</w:t>
      </w:r>
      <w:r w:rsidRPr="00A12B5C">
        <w:t xml:space="preserve"> KM manje od ukupnog plana. Ostvarenje tekućih </w:t>
      </w:r>
      <w:proofErr w:type="spellStart"/>
      <w:r w:rsidRPr="00A12B5C">
        <w:t>grantova</w:t>
      </w:r>
      <w:proofErr w:type="spellEnd"/>
      <w:r w:rsidRPr="00A12B5C">
        <w:t xml:space="preserve"> u </w:t>
      </w:r>
      <w:r w:rsidR="00C2720A" w:rsidRPr="00A12B5C">
        <w:t>201</w:t>
      </w:r>
      <w:r w:rsidR="003543DC">
        <w:t>9</w:t>
      </w:r>
      <w:r w:rsidR="00C2720A" w:rsidRPr="00A12B5C">
        <w:t>. godini</w:t>
      </w:r>
      <w:r w:rsidRPr="00A12B5C">
        <w:t xml:space="preserve"> </w:t>
      </w:r>
      <w:r w:rsidR="00C2720A" w:rsidRPr="00A12B5C">
        <w:t>manje</w:t>
      </w:r>
      <w:r w:rsidRPr="00A12B5C">
        <w:t xml:space="preserve"> je od ostvarenja u </w:t>
      </w:r>
      <w:r w:rsidR="00C2720A" w:rsidRPr="00A12B5C">
        <w:t>fiskalnoj</w:t>
      </w:r>
      <w:r w:rsidRPr="00A12B5C">
        <w:t xml:space="preserve"> 201</w:t>
      </w:r>
      <w:r w:rsidR="003543DC">
        <w:t>8</w:t>
      </w:r>
      <w:r w:rsidRPr="00A12B5C">
        <w:t>. godin</w:t>
      </w:r>
      <w:r w:rsidR="00C2720A" w:rsidRPr="00A12B5C">
        <w:t>i</w:t>
      </w:r>
      <w:r w:rsidRPr="00A12B5C">
        <w:t xml:space="preserve"> za </w:t>
      </w:r>
      <w:r w:rsidR="003543DC">
        <w:t>413.730</w:t>
      </w:r>
      <w:r w:rsidRPr="00A12B5C">
        <w:t xml:space="preserve"> KM</w:t>
      </w:r>
      <w:r w:rsidR="003543DC">
        <w:t>, odnosno manje za 29,93%</w:t>
      </w:r>
      <w:r w:rsidRPr="00A12B5C">
        <w:t>.</w:t>
      </w:r>
    </w:p>
    <w:p w:rsidR="00295607" w:rsidRPr="00A12B5C" w:rsidRDefault="00295607" w:rsidP="00295607">
      <w:pPr>
        <w:pStyle w:val="Default"/>
        <w:ind w:left="1440"/>
        <w:jc w:val="both"/>
        <w:rPr>
          <w:sz w:val="20"/>
          <w:szCs w:val="20"/>
        </w:rPr>
      </w:pPr>
    </w:p>
    <w:p w:rsidR="009554E4" w:rsidRPr="00A12B5C" w:rsidRDefault="009554E4" w:rsidP="009554E4">
      <w:pPr>
        <w:pStyle w:val="Uvuenotijeloteksta"/>
        <w:spacing w:line="240" w:lineRule="auto"/>
        <w:ind w:firstLine="0"/>
      </w:pPr>
      <w:r w:rsidRPr="00A12B5C">
        <w:t xml:space="preserve">U Tablici </w:t>
      </w:r>
      <w:r w:rsidR="00A832B5" w:rsidRPr="00A12B5C">
        <w:t>8</w:t>
      </w:r>
      <w:r w:rsidRPr="00A12B5C">
        <w:t xml:space="preserve">. i na Grafu </w:t>
      </w:r>
      <w:r w:rsidR="00A832B5" w:rsidRPr="00A12B5C">
        <w:t>9</w:t>
      </w:r>
      <w:r w:rsidRPr="00A12B5C">
        <w:t xml:space="preserve">. prikazana je struktura ostvarenih tekućih </w:t>
      </w:r>
      <w:r w:rsidR="00942C0F" w:rsidRPr="00A12B5C">
        <w:t>grantova</w:t>
      </w:r>
      <w:r w:rsidRPr="00A12B5C">
        <w:t xml:space="preserve"> Proračuna Županije Posavske u 201</w:t>
      </w:r>
      <w:r w:rsidR="003543DC">
        <w:t>9</w:t>
      </w:r>
      <w:r w:rsidRPr="00A12B5C">
        <w:t>. godin</w:t>
      </w:r>
      <w:r w:rsidR="00BA575C" w:rsidRPr="00A12B5C">
        <w:t>i</w:t>
      </w:r>
      <w:r w:rsidRPr="00A12B5C">
        <w:t>.</w:t>
      </w:r>
    </w:p>
    <w:p w:rsidR="002549C3" w:rsidRDefault="002549C3" w:rsidP="009554E4">
      <w:pPr>
        <w:jc w:val="both"/>
        <w:rPr>
          <w:sz w:val="20"/>
          <w:szCs w:val="20"/>
        </w:rPr>
      </w:pPr>
    </w:p>
    <w:p w:rsidR="00212735" w:rsidRDefault="00212735" w:rsidP="009554E4">
      <w:pPr>
        <w:jc w:val="both"/>
        <w:rPr>
          <w:sz w:val="20"/>
          <w:szCs w:val="20"/>
        </w:rPr>
      </w:pPr>
    </w:p>
    <w:p w:rsidR="00212735" w:rsidRDefault="00212735" w:rsidP="009554E4">
      <w:pPr>
        <w:jc w:val="both"/>
        <w:rPr>
          <w:sz w:val="20"/>
          <w:szCs w:val="20"/>
        </w:rPr>
      </w:pPr>
    </w:p>
    <w:p w:rsidR="00212735" w:rsidRDefault="00212735" w:rsidP="009554E4">
      <w:pPr>
        <w:jc w:val="both"/>
        <w:rPr>
          <w:sz w:val="20"/>
          <w:szCs w:val="20"/>
        </w:rPr>
      </w:pPr>
    </w:p>
    <w:p w:rsidR="00212735" w:rsidRDefault="00212735" w:rsidP="009554E4">
      <w:pPr>
        <w:jc w:val="both"/>
        <w:rPr>
          <w:sz w:val="20"/>
          <w:szCs w:val="20"/>
        </w:rPr>
      </w:pPr>
    </w:p>
    <w:p w:rsidR="00212735" w:rsidRDefault="00212735" w:rsidP="009554E4">
      <w:pPr>
        <w:jc w:val="both"/>
        <w:rPr>
          <w:sz w:val="20"/>
          <w:szCs w:val="20"/>
        </w:rPr>
      </w:pPr>
    </w:p>
    <w:p w:rsidR="00212735" w:rsidRPr="00A12B5C" w:rsidRDefault="00212735" w:rsidP="009554E4">
      <w:pPr>
        <w:jc w:val="both"/>
        <w:rPr>
          <w:sz w:val="20"/>
          <w:szCs w:val="20"/>
        </w:rPr>
      </w:pPr>
    </w:p>
    <w:p w:rsidR="009554E4" w:rsidRPr="00A12B5C" w:rsidRDefault="009554E4" w:rsidP="009554E4">
      <w:pPr>
        <w:jc w:val="both"/>
        <w:rPr>
          <w:sz w:val="20"/>
          <w:szCs w:val="20"/>
        </w:rPr>
      </w:pPr>
      <w:r w:rsidRPr="00A12B5C">
        <w:rPr>
          <w:sz w:val="20"/>
          <w:szCs w:val="20"/>
        </w:rPr>
        <w:lastRenderedPageBreak/>
        <w:t xml:space="preserve">Tablica </w:t>
      </w:r>
      <w:r w:rsidR="00A832B5" w:rsidRPr="00A12B5C">
        <w:rPr>
          <w:sz w:val="20"/>
          <w:szCs w:val="20"/>
        </w:rPr>
        <w:t>8</w:t>
      </w:r>
      <w:r w:rsidRPr="00A12B5C">
        <w:rPr>
          <w:sz w:val="20"/>
          <w:szCs w:val="20"/>
        </w:rPr>
        <w:t xml:space="preserve">. Struktura ostvarenih tekućih </w:t>
      </w:r>
      <w:r w:rsidR="00942C0F" w:rsidRPr="00A12B5C">
        <w:rPr>
          <w:sz w:val="20"/>
          <w:szCs w:val="20"/>
        </w:rPr>
        <w:t>grantova</w:t>
      </w:r>
      <w:r w:rsidRPr="00A12B5C">
        <w:rPr>
          <w:sz w:val="20"/>
          <w:szCs w:val="20"/>
        </w:rPr>
        <w:t xml:space="preserve"> Proračuna Županije Posavske u 201</w:t>
      </w:r>
      <w:r w:rsidR="003543DC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  <w:r w:rsidR="003543DC">
        <w:rPr>
          <w:sz w:val="20"/>
          <w:szCs w:val="20"/>
        </w:rPr>
        <w:t xml:space="preserve"> 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3543DC" w:rsidRPr="00FD3224" w:rsidTr="0056484C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3543DC" w:rsidRPr="00FD3224" w:rsidRDefault="003543DC" w:rsidP="0056484C">
            <w:pPr>
              <w:rPr>
                <w:b/>
              </w:rPr>
            </w:pPr>
            <w:r w:rsidRPr="00FD3224">
              <w:rPr>
                <w:b/>
              </w:rPr>
              <w:t>OPIS</w:t>
            </w:r>
          </w:p>
        </w:tc>
        <w:tc>
          <w:tcPr>
            <w:tcW w:w="2409" w:type="dxa"/>
          </w:tcPr>
          <w:p w:rsidR="003543DC" w:rsidRPr="00A12B5C" w:rsidRDefault="003543DC" w:rsidP="0056484C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Ostvareno</w:t>
            </w:r>
          </w:p>
          <w:p w:rsidR="003543DC" w:rsidRPr="00A12B5C" w:rsidRDefault="003543DC" w:rsidP="0056484C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9</w:t>
            </w:r>
            <w:r w:rsidRPr="00A12B5C">
              <w:rPr>
                <w:b/>
                <w:sz w:val="22"/>
              </w:rPr>
              <w:t>.g. (u KM)</w:t>
            </w:r>
          </w:p>
        </w:tc>
        <w:tc>
          <w:tcPr>
            <w:tcW w:w="1242" w:type="dxa"/>
          </w:tcPr>
          <w:p w:rsidR="003543DC" w:rsidRPr="00A12B5C" w:rsidRDefault="003543DC" w:rsidP="0056484C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 xml:space="preserve">% </w:t>
            </w:r>
          </w:p>
          <w:p w:rsidR="003543DC" w:rsidRPr="00A12B5C" w:rsidRDefault="003543DC" w:rsidP="0056484C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učešća</w:t>
            </w:r>
          </w:p>
        </w:tc>
      </w:tr>
      <w:tr w:rsidR="0056484C" w:rsidTr="0056484C">
        <w:trPr>
          <w:cnfStyle w:val="000000100000"/>
        </w:trPr>
        <w:tc>
          <w:tcPr>
            <w:cnfStyle w:val="001000000000"/>
            <w:tcW w:w="5637" w:type="dxa"/>
          </w:tcPr>
          <w:p w:rsidR="0056484C" w:rsidRPr="000208BA" w:rsidRDefault="0056484C" w:rsidP="0056484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Primlj.tekući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grantovi</w:t>
            </w:r>
            <w:proofErr w:type="spellEnd"/>
            <w:r>
              <w:rPr>
                <w:sz w:val="22"/>
              </w:rPr>
              <w:t xml:space="preserve"> od </w:t>
            </w:r>
            <w:proofErr w:type="spellStart"/>
            <w:r>
              <w:rPr>
                <w:sz w:val="22"/>
              </w:rPr>
              <w:t>inoz.vlada</w:t>
            </w:r>
            <w:proofErr w:type="spellEnd"/>
            <w:r>
              <w:rPr>
                <w:sz w:val="22"/>
              </w:rPr>
              <w:t xml:space="preserve"> i međ.org. - IPA</w:t>
            </w:r>
          </w:p>
        </w:tc>
        <w:tc>
          <w:tcPr>
            <w:tcW w:w="2409" w:type="dxa"/>
          </w:tcPr>
          <w:p w:rsidR="0056484C" w:rsidRDefault="0056484C" w:rsidP="0056484C">
            <w:pPr>
              <w:ind w:right="743"/>
              <w:jc w:val="right"/>
              <w:cnfStyle w:val="000000100000"/>
            </w:pPr>
            <w:r>
              <w:t>224</w:t>
            </w:r>
          </w:p>
        </w:tc>
        <w:tc>
          <w:tcPr>
            <w:tcW w:w="1242" w:type="dxa"/>
          </w:tcPr>
          <w:p w:rsidR="0056484C" w:rsidRDefault="0056484C" w:rsidP="0056484C">
            <w:pPr>
              <w:ind w:right="283"/>
              <w:jc w:val="right"/>
              <w:cnfStyle w:val="000000100000"/>
            </w:pPr>
            <w:r>
              <w:t>0,02</w:t>
            </w:r>
          </w:p>
        </w:tc>
      </w:tr>
      <w:tr w:rsidR="003543DC" w:rsidTr="0056484C">
        <w:tc>
          <w:tcPr>
            <w:cnfStyle w:val="001000000000"/>
            <w:tcW w:w="5637" w:type="dxa"/>
          </w:tcPr>
          <w:p w:rsidR="003543DC" w:rsidRPr="000208BA" w:rsidRDefault="003543DC" w:rsidP="0056484C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tekući transferi 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 w:rsidRPr="000208BA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0208BA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Min.zdravstva</w:t>
            </w:r>
            <w:proofErr w:type="spellEnd"/>
            <w:r>
              <w:rPr>
                <w:sz w:val="22"/>
              </w:rPr>
              <w:t>-</w:t>
            </w:r>
            <w:r w:rsidRPr="000208BA">
              <w:rPr>
                <w:sz w:val="22"/>
              </w:rPr>
              <w:t>CŽR</w:t>
            </w:r>
          </w:p>
        </w:tc>
        <w:tc>
          <w:tcPr>
            <w:tcW w:w="2409" w:type="dxa"/>
          </w:tcPr>
          <w:p w:rsidR="003543DC" w:rsidRDefault="0056484C" w:rsidP="0056484C">
            <w:pPr>
              <w:ind w:right="743"/>
              <w:jc w:val="right"/>
              <w:cnfStyle w:val="000000000000"/>
            </w:pPr>
            <w:r>
              <w:t>260.510</w:t>
            </w:r>
          </w:p>
        </w:tc>
        <w:tc>
          <w:tcPr>
            <w:tcW w:w="1242" w:type="dxa"/>
          </w:tcPr>
          <w:p w:rsidR="003543DC" w:rsidRDefault="0056484C" w:rsidP="0056484C">
            <w:pPr>
              <w:ind w:right="283"/>
              <w:jc w:val="right"/>
              <w:cnfStyle w:val="000000000000"/>
            </w:pPr>
            <w:r>
              <w:t>26,90</w:t>
            </w:r>
          </w:p>
        </w:tc>
      </w:tr>
      <w:tr w:rsidR="003543DC" w:rsidTr="0056484C">
        <w:trPr>
          <w:cnfStyle w:val="000000100000"/>
        </w:trPr>
        <w:tc>
          <w:tcPr>
            <w:cnfStyle w:val="001000000000"/>
            <w:tcW w:w="5637" w:type="dxa"/>
          </w:tcPr>
          <w:p w:rsidR="003543DC" w:rsidRDefault="003543DC" w:rsidP="0056484C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>Primljeni tek</w:t>
            </w:r>
            <w:r>
              <w:rPr>
                <w:sz w:val="22"/>
              </w:rPr>
              <w:t>.</w:t>
            </w:r>
            <w:r w:rsidRPr="000208BA">
              <w:rPr>
                <w:sz w:val="22"/>
              </w:rPr>
              <w:t>transf</w:t>
            </w:r>
            <w:r>
              <w:rPr>
                <w:sz w:val="22"/>
              </w:rPr>
              <w:t>.</w:t>
            </w:r>
            <w:r w:rsidRPr="000208BA">
              <w:rPr>
                <w:sz w:val="22"/>
              </w:rPr>
              <w:t xml:space="preserve">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 w:rsidRPr="000208BA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0208BA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Min.prosvjete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nab.udžbenika</w:t>
            </w:r>
            <w:proofErr w:type="spellEnd"/>
          </w:p>
        </w:tc>
        <w:tc>
          <w:tcPr>
            <w:tcW w:w="2409" w:type="dxa"/>
          </w:tcPr>
          <w:p w:rsidR="003543DC" w:rsidRDefault="0056484C" w:rsidP="0056484C">
            <w:pPr>
              <w:ind w:right="743"/>
              <w:jc w:val="right"/>
              <w:cnfStyle w:val="000000100000"/>
            </w:pPr>
            <w:r>
              <w:t>8.160</w:t>
            </w:r>
          </w:p>
        </w:tc>
        <w:tc>
          <w:tcPr>
            <w:tcW w:w="1242" w:type="dxa"/>
          </w:tcPr>
          <w:p w:rsidR="003543DC" w:rsidRDefault="0056484C" w:rsidP="0056484C">
            <w:pPr>
              <w:ind w:right="283"/>
              <w:jc w:val="right"/>
              <w:cnfStyle w:val="000000100000"/>
            </w:pPr>
            <w:r>
              <w:t>0,84</w:t>
            </w:r>
          </w:p>
        </w:tc>
      </w:tr>
      <w:tr w:rsidR="003543DC" w:rsidTr="0056484C">
        <w:tc>
          <w:tcPr>
            <w:cnfStyle w:val="001000000000"/>
            <w:tcW w:w="5637" w:type="dxa"/>
          </w:tcPr>
          <w:p w:rsidR="003543DC" w:rsidRDefault="003543DC" w:rsidP="0056484C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</w:t>
            </w:r>
            <w:proofErr w:type="spellStart"/>
            <w:r w:rsidRPr="000208BA">
              <w:rPr>
                <w:sz w:val="22"/>
              </w:rPr>
              <w:t>tek</w:t>
            </w:r>
            <w:r>
              <w:rPr>
                <w:sz w:val="22"/>
              </w:rPr>
              <w:t>.</w:t>
            </w:r>
            <w:r w:rsidRPr="000208BA">
              <w:rPr>
                <w:sz w:val="22"/>
              </w:rPr>
              <w:t>transferi</w:t>
            </w:r>
            <w:proofErr w:type="spellEnd"/>
            <w:r w:rsidRPr="000208BA">
              <w:rPr>
                <w:sz w:val="22"/>
              </w:rPr>
              <w:t xml:space="preserve"> 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>
              <w:rPr>
                <w:sz w:val="22"/>
              </w:rPr>
              <w:t xml:space="preserve"> – Riznica ŽP – </w:t>
            </w:r>
            <w:proofErr w:type="spellStart"/>
            <w:r>
              <w:rPr>
                <w:sz w:val="22"/>
              </w:rPr>
              <w:t>pror.potpora</w:t>
            </w:r>
            <w:proofErr w:type="spellEnd"/>
          </w:p>
        </w:tc>
        <w:tc>
          <w:tcPr>
            <w:tcW w:w="2409" w:type="dxa"/>
          </w:tcPr>
          <w:p w:rsidR="003543DC" w:rsidRDefault="0056484C" w:rsidP="0056484C">
            <w:pPr>
              <w:ind w:right="743"/>
              <w:jc w:val="right"/>
              <w:cnfStyle w:val="000000000000"/>
            </w:pPr>
            <w:r>
              <w:t>670.000</w:t>
            </w:r>
          </w:p>
        </w:tc>
        <w:tc>
          <w:tcPr>
            <w:tcW w:w="1242" w:type="dxa"/>
          </w:tcPr>
          <w:p w:rsidR="003543DC" w:rsidRDefault="0056484C" w:rsidP="0056484C">
            <w:pPr>
              <w:ind w:right="283"/>
              <w:jc w:val="right"/>
              <w:cnfStyle w:val="000000000000"/>
            </w:pPr>
            <w:r>
              <w:t>69,18</w:t>
            </w:r>
          </w:p>
        </w:tc>
      </w:tr>
      <w:tr w:rsidR="003543DC" w:rsidTr="0056484C">
        <w:trPr>
          <w:cnfStyle w:val="000000100000"/>
        </w:trPr>
        <w:tc>
          <w:tcPr>
            <w:cnfStyle w:val="001000000000"/>
            <w:tcW w:w="5637" w:type="dxa"/>
          </w:tcPr>
          <w:p w:rsidR="003543DC" w:rsidRDefault="003543DC" w:rsidP="0056484C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tekući transferi od </w:t>
            </w:r>
            <w:r>
              <w:rPr>
                <w:sz w:val="22"/>
              </w:rPr>
              <w:t>gradova – Vlada ŽP</w:t>
            </w:r>
          </w:p>
        </w:tc>
        <w:tc>
          <w:tcPr>
            <w:tcW w:w="2409" w:type="dxa"/>
          </w:tcPr>
          <w:p w:rsidR="003543DC" w:rsidRDefault="0056484C" w:rsidP="0056484C">
            <w:pPr>
              <w:ind w:right="743"/>
              <w:jc w:val="right"/>
              <w:cnfStyle w:val="000000100000"/>
            </w:pPr>
            <w:r>
              <w:t>5.000</w:t>
            </w:r>
          </w:p>
        </w:tc>
        <w:tc>
          <w:tcPr>
            <w:tcW w:w="1242" w:type="dxa"/>
          </w:tcPr>
          <w:p w:rsidR="003543DC" w:rsidRDefault="0056484C" w:rsidP="0056484C">
            <w:pPr>
              <w:ind w:right="283"/>
              <w:jc w:val="right"/>
              <w:cnfStyle w:val="000000100000"/>
            </w:pPr>
            <w:r>
              <w:t>0,52</w:t>
            </w:r>
          </w:p>
        </w:tc>
      </w:tr>
      <w:tr w:rsidR="003543DC" w:rsidTr="0056484C">
        <w:tc>
          <w:tcPr>
            <w:cnfStyle w:val="001000000000"/>
            <w:tcW w:w="5637" w:type="dxa"/>
          </w:tcPr>
          <w:p w:rsidR="003543DC" w:rsidRPr="000208BA" w:rsidRDefault="003543DC" w:rsidP="0056484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Transfer od </w:t>
            </w:r>
            <w:proofErr w:type="spellStart"/>
            <w:r>
              <w:rPr>
                <w:sz w:val="22"/>
              </w:rPr>
              <w:t>Fed.zavoda</w:t>
            </w:r>
            <w:proofErr w:type="spellEnd"/>
            <w:r>
              <w:rPr>
                <w:sz w:val="22"/>
              </w:rPr>
              <w:t xml:space="preserve"> za zapošljavanje – osnovne škole</w:t>
            </w:r>
          </w:p>
        </w:tc>
        <w:tc>
          <w:tcPr>
            <w:tcW w:w="2409" w:type="dxa"/>
          </w:tcPr>
          <w:p w:rsidR="003543DC" w:rsidRDefault="0056484C" w:rsidP="0056484C">
            <w:pPr>
              <w:ind w:right="743"/>
              <w:jc w:val="right"/>
              <w:cnfStyle w:val="000000000000"/>
            </w:pPr>
            <w:r>
              <w:t>24.600</w:t>
            </w:r>
          </w:p>
        </w:tc>
        <w:tc>
          <w:tcPr>
            <w:tcW w:w="1242" w:type="dxa"/>
          </w:tcPr>
          <w:p w:rsidR="003543DC" w:rsidRDefault="0056484C" w:rsidP="0056484C">
            <w:pPr>
              <w:ind w:right="283"/>
              <w:jc w:val="right"/>
              <w:cnfStyle w:val="000000000000"/>
            </w:pPr>
            <w:r>
              <w:t>2,54</w:t>
            </w:r>
          </w:p>
        </w:tc>
      </w:tr>
      <w:tr w:rsidR="003543DC" w:rsidRPr="00FD3224" w:rsidTr="0056484C">
        <w:trPr>
          <w:cnfStyle w:val="000000100000"/>
        </w:trPr>
        <w:tc>
          <w:tcPr>
            <w:cnfStyle w:val="001000000000"/>
            <w:tcW w:w="5637" w:type="dxa"/>
          </w:tcPr>
          <w:p w:rsidR="003543DC" w:rsidRPr="00FD3224" w:rsidRDefault="003543DC" w:rsidP="0056484C">
            <w:pPr>
              <w:jc w:val="both"/>
              <w:rPr>
                <w:b/>
              </w:rPr>
            </w:pPr>
            <w:r w:rsidRPr="00FD3224">
              <w:rPr>
                <w:b/>
              </w:rPr>
              <w:t>UKUPNO:</w:t>
            </w:r>
          </w:p>
        </w:tc>
        <w:tc>
          <w:tcPr>
            <w:tcW w:w="2409" w:type="dxa"/>
            <w:vAlign w:val="center"/>
          </w:tcPr>
          <w:p w:rsidR="003543DC" w:rsidRPr="00FD3224" w:rsidRDefault="00F2547B" w:rsidP="0056484C">
            <w:pPr>
              <w:ind w:right="743"/>
              <w:jc w:val="right"/>
              <w:cnfStyle w:val="0000001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56484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6484C">
              <w:rPr>
                <w:b/>
                <w:noProof/>
              </w:rPr>
              <w:t>968.494</w:t>
            </w:r>
            <w:r>
              <w:rPr>
                <w:b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3543DC" w:rsidRPr="00FD3224" w:rsidRDefault="00F2547B" w:rsidP="0056484C">
            <w:pPr>
              <w:ind w:right="283"/>
              <w:jc w:val="right"/>
              <w:cnfStyle w:val="0000001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56484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6484C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56484C">
              <w:rPr>
                <w:b/>
              </w:rPr>
              <w:t>,00</w:t>
            </w:r>
          </w:p>
        </w:tc>
      </w:tr>
    </w:tbl>
    <w:p w:rsidR="003543DC" w:rsidRDefault="003543DC" w:rsidP="00006394">
      <w:pPr>
        <w:pStyle w:val="Uvuenotijeloteksta"/>
        <w:spacing w:before="120" w:line="240" w:lineRule="auto"/>
        <w:ind w:firstLine="0"/>
        <w:jc w:val="center"/>
        <w:rPr>
          <w:b/>
          <w:bCs/>
          <w:i/>
        </w:rPr>
      </w:pPr>
    </w:p>
    <w:p w:rsidR="00006394" w:rsidRPr="00A12B5C" w:rsidRDefault="00006394" w:rsidP="00006394">
      <w:pPr>
        <w:pStyle w:val="Uvuenotijeloteksta"/>
        <w:spacing w:before="120" w:line="240" w:lineRule="auto"/>
        <w:ind w:firstLine="0"/>
        <w:jc w:val="center"/>
        <w:rPr>
          <w:b/>
          <w:bCs/>
          <w:i/>
        </w:rPr>
      </w:pPr>
      <w:r w:rsidRPr="00A12B5C">
        <w:rPr>
          <w:noProof/>
          <w:lang w:eastAsia="hr-HR"/>
        </w:rPr>
        <w:drawing>
          <wp:inline distT="0" distB="0" distL="0" distR="0">
            <wp:extent cx="4930140" cy="2200275"/>
            <wp:effectExtent l="19050" t="0" r="3810" b="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06394" w:rsidRPr="00A12B5C" w:rsidRDefault="00006394" w:rsidP="00891F5B">
      <w:pPr>
        <w:jc w:val="center"/>
        <w:rPr>
          <w:sz w:val="20"/>
          <w:szCs w:val="20"/>
        </w:rPr>
      </w:pPr>
      <w:r w:rsidRPr="00A12B5C">
        <w:rPr>
          <w:sz w:val="20"/>
          <w:szCs w:val="20"/>
        </w:rPr>
        <w:t>Graf 9.Struktura ostvarenih tekućih grantova Proračuna Županije Posavske u 201</w:t>
      </w:r>
      <w:r w:rsidR="0056484C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p w:rsidR="00106191" w:rsidRPr="00A12B5C" w:rsidRDefault="00106191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50337" w:rsidRPr="00A12B5C" w:rsidRDefault="00AD16F2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  <w:r w:rsidRPr="00A12B5C">
        <w:rPr>
          <w:b/>
          <w:bCs/>
          <w:i/>
        </w:rPr>
        <w:t>1</w:t>
      </w:r>
      <w:r w:rsidR="009554E4" w:rsidRPr="00A12B5C">
        <w:rPr>
          <w:b/>
          <w:bCs/>
          <w:i/>
        </w:rPr>
        <w:t xml:space="preserve">.4 </w:t>
      </w:r>
      <w:r w:rsidR="009554E4" w:rsidRPr="00A12B5C">
        <w:rPr>
          <w:b/>
          <w:bCs/>
          <w:i/>
        </w:rPr>
        <w:tab/>
      </w:r>
      <w:r w:rsidR="00B50337" w:rsidRPr="00A12B5C">
        <w:rPr>
          <w:b/>
          <w:bCs/>
          <w:i/>
        </w:rPr>
        <w:t>KAPITALNI GRANTOVI</w:t>
      </w:r>
    </w:p>
    <w:p w:rsidR="00B50337" w:rsidRPr="00A12B5C" w:rsidRDefault="00B50337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891F5B" w:rsidRPr="00A12B5C" w:rsidRDefault="00891F5B" w:rsidP="00891F5B">
      <w:pPr>
        <w:pStyle w:val="Uvuenotijeloteksta"/>
        <w:spacing w:line="240" w:lineRule="auto"/>
        <w:ind w:firstLine="0"/>
      </w:pPr>
      <w:r w:rsidRPr="00A12B5C">
        <w:t xml:space="preserve">Kapitalni grantovi (kategorija 740000) ostvareni su u iznosu od </w:t>
      </w:r>
      <w:r w:rsidR="00483B7C">
        <w:t>152.132</w:t>
      </w:r>
      <w:r w:rsidRPr="00A12B5C">
        <w:t xml:space="preserve"> KM, što iznosi </w:t>
      </w:r>
      <w:r w:rsidR="0056484C">
        <w:t>57,12</w:t>
      </w:r>
      <w:r w:rsidRPr="00A12B5C">
        <w:t xml:space="preserve">% ukupno planiranih kapitalnih </w:t>
      </w:r>
      <w:proofErr w:type="spellStart"/>
      <w:r w:rsidRPr="00A12B5C">
        <w:t>grantova</w:t>
      </w:r>
      <w:proofErr w:type="spellEnd"/>
      <w:r w:rsidRPr="00A12B5C">
        <w:t xml:space="preserve"> u fiskalnoj 201</w:t>
      </w:r>
      <w:r w:rsidR="0056484C">
        <w:t>9</w:t>
      </w:r>
      <w:r w:rsidRPr="00A12B5C">
        <w:t>. godini. U odnosu na 201</w:t>
      </w:r>
      <w:r w:rsidR="0056484C">
        <w:t>8</w:t>
      </w:r>
      <w:r w:rsidRPr="00A12B5C">
        <w:t xml:space="preserve">. godinu ostvarenje kapitalnih grantova je manje za </w:t>
      </w:r>
      <w:r w:rsidR="0056484C">
        <w:t>145.975</w:t>
      </w:r>
      <w:r w:rsidRPr="00A12B5C">
        <w:t xml:space="preserve"> KM</w:t>
      </w:r>
      <w:r w:rsidR="0056484C">
        <w:t>, ili manje za 48,97%</w:t>
      </w:r>
      <w:r w:rsidRPr="00A12B5C">
        <w:t>.</w:t>
      </w:r>
    </w:p>
    <w:p w:rsidR="0056484C" w:rsidRDefault="0056484C" w:rsidP="0056484C">
      <w:pPr>
        <w:pStyle w:val="Uvuenotijeloteksta"/>
        <w:spacing w:line="240" w:lineRule="auto"/>
        <w:ind w:firstLine="0"/>
      </w:pPr>
    </w:p>
    <w:p w:rsidR="0056484C" w:rsidRDefault="0056484C" w:rsidP="0056484C">
      <w:pPr>
        <w:pStyle w:val="Uvuenotijeloteksta"/>
        <w:spacing w:line="240" w:lineRule="auto"/>
        <w:ind w:firstLine="0"/>
      </w:pPr>
      <w:r>
        <w:t xml:space="preserve">Realizacija kapitalnih </w:t>
      </w:r>
      <w:proofErr w:type="spellStart"/>
      <w:r>
        <w:t>grantova</w:t>
      </w:r>
      <w:proofErr w:type="spellEnd"/>
      <w:r>
        <w:t xml:space="preserve"> u 2019. godini odnosi se na: </w:t>
      </w:r>
    </w:p>
    <w:p w:rsidR="0056484C" w:rsidRDefault="0056484C" w:rsidP="0056484C">
      <w:pPr>
        <w:pStyle w:val="Uvuenotijeloteksta"/>
        <w:numPr>
          <w:ilvl w:val="0"/>
          <w:numId w:val="37"/>
        </w:numPr>
        <w:spacing w:line="240" w:lineRule="auto"/>
      </w:pPr>
      <w:r>
        <w:t xml:space="preserve">primljene </w:t>
      </w:r>
      <w:r w:rsidRPr="00981C9C">
        <w:t xml:space="preserve">kapitalne </w:t>
      </w:r>
      <w:proofErr w:type="spellStart"/>
      <w:r w:rsidRPr="00981C9C">
        <w:t>grantove</w:t>
      </w:r>
      <w:proofErr w:type="spellEnd"/>
      <w:r w:rsidRPr="00981C9C">
        <w:t xml:space="preserve"> od </w:t>
      </w:r>
      <w:r>
        <w:t>inozemnih vlada i međunarodnih organizacija</w:t>
      </w:r>
      <w:r w:rsidRPr="00981C9C">
        <w:t xml:space="preserve"> (potkategorija 74</w:t>
      </w:r>
      <w:r>
        <w:t>1</w:t>
      </w:r>
      <w:r w:rsidRPr="00981C9C">
        <w:t>000</w:t>
      </w:r>
      <w:r>
        <w:t>) u iznosu od 5.143 KM, i odnose se na utrošena kratkoročno razgraničena sredstva Srednje strukovne škole Orašje, primljena u 2018. godini od  Središnjeg državnog ureda za Hrvate izvan Republike Hrvatske na temelju Ugovora o dodjeli financijske potpore projektu Osuvremenjivanje nastavnog procesa putem formiranja e-učionice, broj: 537-02-01/1-18-02 od 11.06.2018.godine (20.000,00 kuna);</w:t>
      </w:r>
    </w:p>
    <w:p w:rsidR="0056484C" w:rsidRDefault="0056484C" w:rsidP="0056484C">
      <w:pPr>
        <w:pStyle w:val="Uvuenotijeloteksta"/>
        <w:numPr>
          <w:ilvl w:val="0"/>
          <w:numId w:val="37"/>
        </w:numPr>
        <w:spacing w:line="240" w:lineRule="auto"/>
      </w:pPr>
      <w:r>
        <w:t xml:space="preserve">kapitalne </w:t>
      </w:r>
      <w:proofErr w:type="spellStart"/>
      <w:r>
        <w:t>grantove</w:t>
      </w:r>
      <w:proofErr w:type="spellEnd"/>
      <w:r>
        <w:t xml:space="preserve"> od ostalih razina vlasti </w:t>
      </w:r>
      <w:r w:rsidRPr="00981C9C">
        <w:t>(potkategorija 74</w:t>
      </w:r>
      <w:r>
        <w:t>2</w:t>
      </w:r>
      <w:r w:rsidRPr="00981C9C">
        <w:t>000</w:t>
      </w:r>
      <w:r>
        <w:t>) u ukupnom iznosu od 146.989 KM, kako slijedi:</w:t>
      </w:r>
    </w:p>
    <w:p w:rsidR="0056484C" w:rsidRPr="00545C03" w:rsidRDefault="0056484C" w:rsidP="0056484C">
      <w:pPr>
        <w:pStyle w:val="Uvuenotijeloteksta"/>
        <w:numPr>
          <w:ilvl w:val="1"/>
          <w:numId w:val="43"/>
        </w:numPr>
        <w:spacing w:line="240" w:lineRule="auto"/>
      </w:pPr>
      <w:r w:rsidRPr="00545C03">
        <w:t>kapitalni grant od Federalnog ministarstva prostornog uređenja u iznosu od 100.000 KM, dodijeljen Ministarstvu poljoprivrede, vodoprivrede i šumarstva na temelju Ugovora o sufinanciranju projekta „Rekonstrukcija ljetnog nasipa Kopanice“, broj: 08-01-206/19 od 27.08.2019. godine,</w:t>
      </w:r>
    </w:p>
    <w:p w:rsidR="0056484C" w:rsidRDefault="0056484C" w:rsidP="0056484C">
      <w:pPr>
        <w:pStyle w:val="Uvuenotijeloteksta"/>
        <w:numPr>
          <w:ilvl w:val="1"/>
          <w:numId w:val="43"/>
        </w:numPr>
        <w:spacing w:line="240" w:lineRule="auto"/>
      </w:pPr>
      <w:r w:rsidRPr="00935BF7">
        <w:t xml:space="preserve">kapitalni grant od Federalnog ministarstva obrazovanja i nauke dodijeljen Srednjoj strukovnoj školi Orašje na temelju Ugovora o financiranju projekata iz oblasti „Podrška projektima poboljšanja kvalitete praktične nastave u </w:t>
      </w:r>
      <w:r w:rsidRPr="00935BF7">
        <w:lastRenderedPageBreak/>
        <w:t>srednjem obrazovanju“ (osuvremenjivanje elektrotehničkog kabineta) , broj: 06-38-568-3/18 od 24.07.2018. godine u iznosu od 11.941,00 KM (kratkoročno razgraničen na 31.12.2018. godine),</w:t>
      </w:r>
    </w:p>
    <w:p w:rsidR="00483B7C" w:rsidRPr="00A07870" w:rsidRDefault="00A07870" w:rsidP="0056484C">
      <w:pPr>
        <w:pStyle w:val="Uvuenotijeloteksta"/>
        <w:numPr>
          <w:ilvl w:val="1"/>
          <w:numId w:val="43"/>
        </w:numPr>
        <w:spacing w:line="240" w:lineRule="auto"/>
      </w:pPr>
      <w:r w:rsidRPr="00A07870">
        <w:t xml:space="preserve">kapitalni grant od Federalnog ministarstva obrazovanja i nauke dodijeljen Srednjoj strukovnoj školi Orašje na temelju Ugovora o sufinanciranju projekta iz oblasti predškolskog, osnovnog i srednjeg obrazovanja, broj: 805/19 u svrhu realizacije projekta „Osuvremenjivanje školske knjižnice“ u iznosu od </w:t>
      </w:r>
      <w:r w:rsidR="00483B7C" w:rsidRPr="00A07870">
        <w:t>4</w:t>
      </w:r>
      <w:r w:rsidRPr="00A07870">
        <w:t>.</w:t>
      </w:r>
      <w:r w:rsidR="00483B7C" w:rsidRPr="00A07870">
        <w:t>875</w:t>
      </w:r>
      <w:r w:rsidRPr="00A07870">
        <w:t>,00</w:t>
      </w:r>
      <w:r w:rsidR="00483B7C" w:rsidRPr="00A07870">
        <w:t xml:space="preserve"> KM</w:t>
      </w:r>
    </w:p>
    <w:p w:rsidR="00483B7C" w:rsidRDefault="00483B7C" w:rsidP="00483B7C">
      <w:pPr>
        <w:pStyle w:val="Uvuenotijeloteksta"/>
        <w:numPr>
          <w:ilvl w:val="1"/>
          <w:numId w:val="43"/>
        </w:numPr>
        <w:spacing w:line="240" w:lineRule="auto"/>
      </w:pPr>
      <w:r w:rsidRPr="00A12B5C">
        <w:t xml:space="preserve">kapitalni grant od Federalnog ministarstva obrazovanja i nauke u iznosu od 4.660,00 KM, dodijeljen Osnovnoj školi Vladimira Nazora Odžak na temelju Ugovora o sufinanciranju projekta iz oblasti predškolskog, osnovnog i srednjeg obrazovanja, broj: 01-424/18, a u svrhu realizacije projekta „Nabavka </w:t>
      </w:r>
      <w:proofErr w:type="spellStart"/>
      <w:r w:rsidRPr="00A12B5C">
        <w:t>logopedskog</w:t>
      </w:r>
      <w:proofErr w:type="spellEnd"/>
      <w:r w:rsidRPr="00A12B5C">
        <w:t xml:space="preserve"> digitalnog seta“</w:t>
      </w:r>
      <w:r>
        <w:t xml:space="preserve"> (primljen u fiskalnoj 2018. godini, razgraničen na dan 31.12.2018. godine),</w:t>
      </w:r>
    </w:p>
    <w:p w:rsidR="008A22E1" w:rsidRPr="00A07870" w:rsidRDefault="008A22E1" w:rsidP="008A22E1">
      <w:pPr>
        <w:pStyle w:val="Uvuenotijeloteksta"/>
        <w:numPr>
          <w:ilvl w:val="1"/>
          <w:numId w:val="43"/>
        </w:numPr>
        <w:spacing w:line="240" w:lineRule="auto"/>
      </w:pPr>
      <w:r w:rsidRPr="00A07870">
        <w:t xml:space="preserve">kapitalni grant od Federalnog ministarstva obrazovanja i nauke dodijeljen </w:t>
      </w:r>
      <w:r>
        <w:t>Osnovnoj</w:t>
      </w:r>
      <w:r w:rsidRPr="00A07870">
        <w:t xml:space="preserve"> školi </w:t>
      </w:r>
      <w:r>
        <w:t>Vladimira Nazora Odžak</w:t>
      </w:r>
      <w:r w:rsidRPr="00A07870">
        <w:t xml:space="preserve"> na temelju Ugovora o sufinanciranju projekta iz oblasti predškolskog, osnovnog i srednjeg obrazovanja, broj: </w:t>
      </w:r>
      <w:r w:rsidR="00464F4D">
        <w:t>01-424</w:t>
      </w:r>
      <w:r w:rsidRPr="00A07870">
        <w:t>/19 u svrhu realizacije projekta „</w:t>
      </w:r>
      <w:r w:rsidR="00464F4D">
        <w:t xml:space="preserve">Nabavka </w:t>
      </w:r>
      <w:proofErr w:type="spellStart"/>
      <w:r w:rsidR="00464F4D">
        <w:t>asistivne</w:t>
      </w:r>
      <w:proofErr w:type="spellEnd"/>
      <w:r w:rsidR="00464F4D">
        <w:t xml:space="preserve"> tehnologije</w:t>
      </w:r>
      <w:r w:rsidRPr="00A07870">
        <w:t xml:space="preserve">“ u iznosu od </w:t>
      </w:r>
      <w:r>
        <w:t>5.064</w:t>
      </w:r>
      <w:r w:rsidRPr="00A07870">
        <w:t>,00 KM</w:t>
      </w:r>
    </w:p>
    <w:p w:rsidR="0056484C" w:rsidRDefault="0056484C" w:rsidP="0056484C">
      <w:pPr>
        <w:pStyle w:val="Uvuenotijeloteksta"/>
        <w:numPr>
          <w:ilvl w:val="1"/>
          <w:numId w:val="43"/>
        </w:numPr>
        <w:spacing w:line="240" w:lineRule="auto"/>
      </w:pPr>
      <w:r w:rsidRPr="00A12B5C">
        <w:t>kapitalni grant od Federalnog ministarstva obrazovanja i nauke u iznosu od 4.899,00 KM, dodijeljen Osnovnoj školi Fra Ilije Starčevića Tolisa na temelju Ugovora o sufinanciranju projekta iz oblasti predškolskog, osnovnog i srednjeg obrazovanja, broj: 519/18, a u svrhu realizacije projekta „Govorne poteškoće nisu prepreka“</w:t>
      </w:r>
      <w:r>
        <w:t xml:space="preserve"> (primljen u fiskalnoj 2018. godini, razgraničen na dan 31.12.2018. godine),</w:t>
      </w:r>
    </w:p>
    <w:p w:rsidR="0056484C" w:rsidRDefault="0056484C" w:rsidP="0056484C">
      <w:pPr>
        <w:pStyle w:val="Uvuenotijeloteksta"/>
        <w:numPr>
          <w:ilvl w:val="1"/>
          <w:numId w:val="43"/>
        </w:numPr>
        <w:spacing w:line="240" w:lineRule="auto"/>
      </w:pPr>
      <w:r w:rsidRPr="00737330">
        <w:t>kapitalni grant od županija u iznosu od 5.000 KM, koje je Ministarstvo poljoprivrede, vodoprivrede i šumarstva Županije Posavske dodijelilo Srednjoj strukovnoj školi Orašje na osnovi Ugovora broj: 08-01-151/19 od 02.07.2019. godine, a u svrhu financiranja rekonstrukcije plastenika potrebne za provođenje stručne prakse u Srednjoj strukovnoj školi Orašje (poljoprivredna struka),</w:t>
      </w:r>
    </w:p>
    <w:p w:rsidR="00483B7C" w:rsidRPr="00CE5293" w:rsidRDefault="00483B7C" w:rsidP="00483B7C">
      <w:pPr>
        <w:pStyle w:val="Uvuenotijeloteksta"/>
        <w:numPr>
          <w:ilvl w:val="1"/>
          <w:numId w:val="43"/>
        </w:numPr>
        <w:spacing w:line="240" w:lineRule="auto"/>
      </w:pPr>
      <w:r w:rsidRPr="00737330">
        <w:t xml:space="preserve">kapitalni grant od županija u iznosu od 5.000 KM, koje je Ministarstvo poljoprivrede, vodoprivrede i šumarstva Županije Posavske dodijelilo Srednjoj </w:t>
      </w:r>
      <w:r w:rsidRPr="00CE5293">
        <w:t>školi Pere Zečevića Odžak na osnovi Ugovora broj: 08-01-151</w:t>
      </w:r>
      <w:r w:rsidR="00CE5293" w:rsidRPr="00CE5293">
        <w:t>-1</w:t>
      </w:r>
      <w:r w:rsidRPr="00CE5293">
        <w:t xml:space="preserve">/19 od </w:t>
      </w:r>
      <w:r w:rsidR="00CE5293" w:rsidRPr="00CE5293">
        <w:t>08</w:t>
      </w:r>
      <w:r w:rsidRPr="00CE5293">
        <w:t>.</w:t>
      </w:r>
      <w:r w:rsidR="00CE5293" w:rsidRPr="00CE5293">
        <w:t>11</w:t>
      </w:r>
      <w:r w:rsidRPr="00CE5293">
        <w:t xml:space="preserve">.2019. godine, a u svrhu financiranja </w:t>
      </w:r>
      <w:r w:rsidR="00CE5293" w:rsidRPr="00CE5293">
        <w:t>nabave opreme potrebne</w:t>
      </w:r>
      <w:r w:rsidRPr="00CE5293">
        <w:t xml:space="preserve"> za provođenje stručne prakse u Srednjoj školi </w:t>
      </w:r>
      <w:r w:rsidR="00CE5293" w:rsidRPr="00CE5293">
        <w:t>Pere Zečevića Odžak</w:t>
      </w:r>
      <w:r w:rsidRPr="00CE5293">
        <w:t xml:space="preserve"> (poljoprivredna struka),</w:t>
      </w:r>
    </w:p>
    <w:p w:rsidR="0056484C" w:rsidRDefault="0056484C" w:rsidP="0056484C">
      <w:pPr>
        <w:pStyle w:val="Uvuenotijeloteksta"/>
        <w:numPr>
          <w:ilvl w:val="1"/>
          <w:numId w:val="43"/>
        </w:numPr>
        <w:spacing w:line="240" w:lineRule="auto"/>
      </w:pPr>
      <w:r w:rsidRPr="00190EF8">
        <w:t>kapitalni grant od poduzeća (</w:t>
      </w:r>
      <w:proofErr w:type="spellStart"/>
      <w:r w:rsidRPr="00190EF8">
        <w:t>Strolit</w:t>
      </w:r>
      <w:proofErr w:type="spellEnd"/>
      <w:r w:rsidRPr="00190EF8">
        <w:t xml:space="preserve">, </w:t>
      </w:r>
      <w:proofErr w:type="spellStart"/>
      <w:r w:rsidRPr="00190EF8">
        <w:t>Peplast</w:t>
      </w:r>
      <w:proofErr w:type="spellEnd"/>
      <w:r w:rsidRPr="00190EF8">
        <w:t xml:space="preserve"> i ST </w:t>
      </w:r>
      <w:proofErr w:type="spellStart"/>
      <w:r w:rsidRPr="00190EF8">
        <w:t>Company</w:t>
      </w:r>
      <w:proofErr w:type="spellEnd"/>
      <w:r w:rsidRPr="00190EF8">
        <w:t xml:space="preserve"> Odžak) dodijeljen Srednjoj školi Pere Zečevića Odžak u iznosu od 550,00 KM, u svrhu nabavke računalne opreme,</w:t>
      </w:r>
    </w:p>
    <w:p w:rsidR="0056484C" w:rsidRDefault="0056484C" w:rsidP="0056484C">
      <w:pPr>
        <w:pStyle w:val="Uvuenotijeloteksta"/>
        <w:numPr>
          <w:ilvl w:val="1"/>
          <w:numId w:val="43"/>
        </w:numPr>
        <w:spacing w:line="240" w:lineRule="auto"/>
      </w:pPr>
      <w:r w:rsidRPr="00A12B5C">
        <w:t xml:space="preserve">kapitalni grant od BH Telecom </w:t>
      </w:r>
      <w:proofErr w:type="spellStart"/>
      <w:r w:rsidRPr="00A12B5C">
        <w:t>d.d</w:t>
      </w:r>
      <w:proofErr w:type="spellEnd"/>
      <w:r w:rsidRPr="00A12B5C">
        <w:t xml:space="preserve">. Sarajevo u iznosu od </w:t>
      </w:r>
      <w:r>
        <w:t>3</w:t>
      </w:r>
      <w:r w:rsidRPr="00A12B5C">
        <w:t xml:space="preserve">.000 KM dodijeljen Osnovnoj školi </w:t>
      </w:r>
      <w:r>
        <w:t xml:space="preserve">A.G.Matoša </w:t>
      </w:r>
      <w:proofErr w:type="spellStart"/>
      <w:r>
        <w:t>Vidovice</w:t>
      </w:r>
      <w:proofErr w:type="spellEnd"/>
      <w:r>
        <w:t xml:space="preserve"> na temelju Ugovora o donaciji</w:t>
      </w:r>
      <w:r w:rsidRPr="00A12B5C">
        <w:t xml:space="preserve"> u svrhu realizacije projekta „</w:t>
      </w:r>
      <w:r>
        <w:t>Nabavka opreme za sekciju robotike</w:t>
      </w:r>
      <w:r w:rsidRPr="00A12B5C">
        <w:t>“</w:t>
      </w:r>
      <w:r>
        <w:t>, i</w:t>
      </w:r>
    </w:p>
    <w:p w:rsidR="0056484C" w:rsidRPr="00A12B5C" w:rsidRDefault="0056484C" w:rsidP="0056484C">
      <w:pPr>
        <w:pStyle w:val="Uvuenotijeloteksta"/>
        <w:numPr>
          <w:ilvl w:val="1"/>
          <w:numId w:val="43"/>
        </w:numPr>
        <w:spacing w:line="240" w:lineRule="auto"/>
      </w:pPr>
      <w:r w:rsidRPr="00A12B5C">
        <w:t xml:space="preserve">kapitalni grant od BH Telecom </w:t>
      </w:r>
      <w:proofErr w:type="spellStart"/>
      <w:r w:rsidRPr="00A12B5C">
        <w:t>d.d</w:t>
      </w:r>
      <w:proofErr w:type="spellEnd"/>
      <w:r w:rsidRPr="00A12B5C">
        <w:t xml:space="preserve">. Sarajevo u iznosu od </w:t>
      </w:r>
      <w:r>
        <w:t>2</w:t>
      </w:r>
      <w:r w:rsidRPr="00A12B5C">
        <w:t xml:space="preserve">.000 KM dodijeljen Osnovnoj školi </w:t>
      </w:r>
      <w:r>
        <w:t>Braće Radića Domaljevac na temelju Ugovora o donaciji</w:t>
      </w:r>
      <w:r w:rsidRPr="00A12B5C">
        <w:t xml:space="preserve"> u svrhu realizacije projekta „</w:t>
      </w:r>
      <w:r>
        <w:t>Opremanje informatičkog kabineta</w:t>
      </w:r>
      <w:r w:rsidRPr="00A12B5C">
        <w:t>“</w:t>
      </w:r>
      <w:r>
        <w:t>.</w:t>
      </w:r>
    </w:p>
    <w:p w:rsidR="0056484C" w:rsidRDefault="0056484C" w:rsidP="0056484C">
      <w:pPr>
        <w:pStyle w:val="Uvuenotijeloteksta"/>
        <w:spacing w:line="240" w:lineRule="auto"/>
        <w:ind w:firstLine="0"/>
      </w:pPr>
      <w:r>
        <w:t xml:space="preserve"> </w:t>
      </w:r>
    </w:p>
    <w:p w:rsidR="0056484C" w:rsidRDefault="0056484C" w:rsidP="0056484C">
      <w:pPr>
        <w:jc w:val="both"/>
        <w:rPr>
          <w:szCs w:val="24"/>
        </w:rPr>
      </w:pPr>
      <w:r>
        <w:rPr>
          <w:szCs w:val="24"/>
        </w:rPr>
        <w:t xml:space="preserve">Slijedi tablični i grafički prikaz strukture ostvarenih kapitalnih </w:t>
      </w:r>
      <w:proofErr w:type="spellStart"/>
      <w:r>
        <w:rPr>
          <w:szCs w:val="24"/>
        </w:rPr>
        <w:t>grantova</w:t>
      </w:r>
      <w:proofErr w:type="spellEnd"/>
      <w:r>
        <w:rPr>
          <w:szCs w:val="24"/>
        </w:rPr>
        <w:t xml:space="preserve"> Proračuna Županije Posavske u</w:t>
      </w:r>
      <w:r w:rsidR="00483B7C">
        <w:rPr>
          <w:szCs w:val="24"/>
        </w:rPr>
        <w:t xml:space="preserve"> </w:t>
      </w:r>
      <w:r>
        <w:rPr>
          <w:szCs w:val="24"/>
        </w:rPr>
        <w:t>2019. godin</w:t>
      </w:r>
      <w:r w:rsidR="00483B7C">
        <w:rPr>
          <w:szCs w:val="24"/>
        </w:rPr>
        <w:t>i</w:t>
      </w:r>
      <w:r>
        <w:rPr>
          <w:szCs w:val="24"/>
        </w:rPr>
        <w:t>.</w:t>
      </w:r>
    </w:p>
    <w:p w:rsidR="00D17290" w:rsidRDefault="00D17290" w:rsidP="0056484C">
      <w:pPr>
        <w:jc w:val="both"/>
        <w:rPr>
          <w:szCs w:val="24"/>
        </w:rPr>
      </w:pPr>
    </w:p>
    <w:p w:rsidR="0056484C" w:rsidRDefault="0056484C" w:rsidP="0056484C">
      <w:pPr>
        <w:jc w:val="both"/>
        <w:rPr>
          <w:sz w:val="20"/>
          <w:szCs w:val="20"/>
        </w:rPr>
      </w:pPr>
    </w:p>
    <w:p w:rsidR="0056484C" w:rsidRPr="00FD3224" w:rsidRDefault="0056484C" w:rsidP="0056484C">
      <w:pPr>
        <w:jc w:val="both"/>
        <w:rPr>
          <w:sz w:val="20"/>
          <w:szCs w:val="20"/>
        </w:rPr>
      </w:pPr>
      <w:r w:rsidRPr="00F61D9F">
        <w:rPr>
          <w:sz w:val="20"/>
          <w:szCs w:val="20"/>
        </w:rPr>
        <w:t xml:space="preserve">Tablica 9. Struktura ostvarenih kapitalnih </w:t>
      </w:r>
      <w:proofErr w:type="spellStart"/>
      <w:r w:rsidRPr="00F61D9F">
        <w:rPr>
          <w:sz w:val="20"/>
          <w:szCs w:val="20"/>
        </w:rPr>
        <w:t>grantova</w:t>
      </w:r>
      <w:proofErr w:type="spellEnd"/>
      <w:r w:rsidRPr="00F61D9F">
        <w:rPr>
          <w:sz w:val="20"/>
          <w:szCs w:val="20"/>
        </w:rPr>
        <w:t xml:space="preserve"> Proračuna </w:t>
      </w:r>
      <w:proofErr w:type="spellStart"/>
      <w:r w:rsidRPr="00F61D9F">
        <w:rPr>
          <w:sz w:val="20"/>
          <w:szCs w:val="20"/>
        </w:rPr>
        <w:t>Žup.Posavske</w:t>
      </w:r>
      <w:proofErr w:type="spellEnd"/>
      <w:r w:rsidRPr="00F61D9F">
        <w:rPr>
          <w:sz w:val="20"/>
          <w:szCs w:val="20"/>
        </w:rPr>
        <w:t xml:space="preserve"> u 201</w:t>
      </w:r>
      <w:r>
        <w:rPr>
          <w:sz w:val="20"/>
          <w:szCs w:val="20"/>
        </w:rPr>
        <w:t>9</w:t>
      </w:r>
      <w:r w:rsidRPr="00F61D9F">
        <w:rPr>
          <w:sz w:val="20"/>
          <w:szCs w:val="20"/>
        </w:rPr>
        <w:t>. g.</w:t>
      </w:r>
    </w:p>
    <w:tbl>
      <w:tblPr>
        <w:tblStyle w:val="Srednjipopis210"/>
        <w:tblW w:w="0" w:type="auto"/>
        <w:tblLook w:val="04A0"/>
      </w:tblPr>
      <w:tblGrid>
        <w:gridCol w:w="5637"/>
        <w:gridCol w:w="2409"/>
        <w:gridCol w:w="1242"/>
      </w:tblGrid>
      <w:tr w:rsidR="0056484C" w:rsidRPr="00FD3224" w:rsidTr="0056484C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56484C" w:rsidRPr="00FD3224" w:rsidRDefault="0056484C" w:rsidP="0056484C">
            <w:pPr>
              <w:rPr>
                <w:b/>
              </w:rPr>
            </w:pPr>
            <w:r w:rsidRPr="00FD3224">
              <w:rPr>
                <w:b/>
              </w:rPr>
              <w:t>OPIS</w:t>
            </w:r>
          </w:p>
        </w:tc>
        <w:tc>
          <w:tcPr>
            <w:tcW w:w="2409" w:type="dxa"/>
          </w:tcPr>
          <w:p w:rsidR="0056484C" w:rsidRPr="00FD3224" w:rsidRDefault="0056484C" w:rsidP="0056484C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Ostvareno</w:t>
            </w:r>
          </w:p>
          <w:p w:rsidR="0056484C" w:rsidRPr="00FD3224" w:rsidRDefault="0056484C" w:rsidP="0056484C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FD3224">
              <w:rPr>
                <w:b/>
              </w:rPr>
              <w:t>.g. (u KM)</w:t>
            </w:r>
          </w:p>
        </w:tc>
        <w:tc>
          <w:tcPr>
            <w:tcW w:w="1242" w:type="dxa"/>
          </w:tcPr>
          <w:p w:rsidR="0056484C" w:rsidRDefault="0056484C" w:rsidP="0056484C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 xml:space="preserve">% </w:t>
            </w:r>
          </w:p>
          <w:p w:rsidR="0056484C" w:rsidRPr="00FD3224" w:rsidRDefault="0056484C" w:rsidP="0056484C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učešća</w:t>
            </w:r>
          </w:p>
        </w:tc>
      </w:tr>
      <w:tr w:rsidR="0056484C" w:rsidTr="0056484C">
        <w:trPr>
          <w:cnfStyle w:val="000000100000"/>
          <w:trHeight w:val="20"/>
        </w:trPr>
        <w:tc>
          <w:tcPr>
            <w:cnfStyle w:val="001000000000"/>
            <w:tcW w:w="5637" w:type="dxa"/>
            <w:vAlign w:val="center"/>
          </w:tcPr>
          <w:p w:rsidR="0056484C" w:rsidRPr="00F61D9F" w:rsidRDefault="0056484C" w:rsidP="0056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</w:t>
            </w:r>
            <w:proofErr w:type="spellStart"/>
            <w:r>
              <w:rPr>
                <w:sz w:val="20"/>
                <w:szCs w:val="20"/>
              </w:rPr>
              <w:t>grantovi</w:t>
            </w:r>
            <w:proofErr w:type="spellEnd"/>
            <w:r>
              <w:rPr>
                <w:sz w:val="20"/>
                <w:szCs w:val="20"/>
              </w:rPr>
              <w:t xml:space="preserve"> od inozemnih vlada</w:t>
            </w:r>
          </w:p>
        </w:tc>
        <w:tc>
          <w:tcPr>
            <w:tcW w:w="2409" w:type="dxa"/>
            <w:vAlign w:val="center"/>
          </w:tcPr>
          <w:p w:rsidR="0056484C" w:rsidRDefault="00483B7C" w:rsidP="0056484C">
            <w:pPr>
              <w:ind w:right="743"/>
              <w:jc w:val="right"/>
              <w:cnfStyle w:val="000000100000"/>
            </w:pPr>
            <w:r>
              <w:t>5.143</w:t>
            </w:r>
          </w:p>
        </w:tc>
        <w:tc>
          <w:tcPr>
            <w:tcW w:w="1242" w:type="dxa"/>
            <w:vAlign w:val="center"/>
          </w:tcPr>
          <w:p w:rsidR="0056484C" w:rsidRDefault="00483B7C" w:rsidP="0056484C">
            <w:pPr>
              <w:ind w:right="283"/>
              <w:jc w:val="right"/>
              <w:cnfStyle w:val="000000100000"/>
            </w:pPr>
            <w:r>
              <w:t>3,38</w:t>
            </w:r>
          </w:p>
        </w:tc>
      </w:tr>
      <w:tr w:rsidR="0056484C" w:rsidTr="0056484C">
        <w:trPr>
          <w:trHeight w:val="20"/>
        </w:trPr>
        <w:tc>
          <w:tcPr>
            <w:cnfStyle w:val="001000000000"/>
            <w:tcW w:w="5637" w:type="dxa"/>
            <w:vAlign w:val="center"/>
          </w:tcPr>
          <w:p w:rsidR="0056484C" w:rsidRDefault="0056484C" w:rsidP="0056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</w:t>
            </w:r>
            <w:proofErr w:type="spellStart"/>
            <w:r>
              <w:rPr>
                <w:sz w:val="20"/>
                <w:szCs w:val="20"/>
              </w:rPr>
              <w:t>grantovi</w:t>
            </w:r>
            <w:proofErr w:type="spellEnd"/>
            <w:r>
              <w:rPr>
                <w:sz w:val="20"/>
                <w:szCs w:val="20"/>
              </w:rPr>
              <w:t xml:space="preserve"> od ostalih razina vlasti i fondova</w:t>
            </w:r>
          </w:p>
        </w:tc>
        <w:tc>
          <w:tcPr>
            <w:tcW w:w="2409" w:type="dxa"/>
            <w:vAlign w:val="center"/>
          </w:tcPr>
          <w:p w:rsidR="0056484C" w:rsidRDefault="00483B7C" w:rsidP="0056484C">
            <w:pPr>
              <w:ind w:right="743"/>
              <w:jc w:val="right"/>
              <w:cnfStyle w:val="000000000000"/>
            </w:pPr>
            <w:r>
              <w:t>146.989</w:t>
            </w:r>
          </w:p>
        </w:tc>
        <w:tc>
          <w:tcPr>
            <w:tcW w:w="1242" w:type="dxa"/>
            <w:vAlign w:val="center"/>
          </w:tcPr>
          <w:p w:rsidR="0056484C" w:rsidRDefault="00483B7C" w:rsidP="0056484C">
            <w:pPr>
              <w:ind w:right="283"/>
              <w:jc w:val="right"/>
              <w:cnfStyle w:val="000000000000"/>
            </w:pPr>
            <w:r>
              <w:t>96,62</w:t>
            </w:r>
          </w:p>
        </w:tc>
      </w:tr>
      <w:tr w:rsidR="0056484C" w:rsidRPr="00FD3224" w:rsidTr="0056484C">
        <w:trPr>
          <w:cnfStyle w:val="000000100000"/>
        </w:trPr>
        <w:tc>
          <w:tcPr>
            <w:cnfStyle w:val="001000000000"/>
            <w:tcW w:w="5637" w:type="dxa"/>
          </w:tcPr>
          <w:p w:rsidR="0056484C" w:rsidRPr="00FD3224" w:rsidRDefault="0056484C" w:rsidP="0056484C">
            <w:pPr>
              <w:jc w:val="both"/>
              <w:rPr>
                <w:b/>
              </w:rPr>
            </w:pPr>
            <w:r w:rsidRPr="00FD3224">
              <w:rPr>
                <w:b/>
              </w:rPr>
              <w:t>UKUPNO:</w:t>
            </w:r>
          </w:p>
        </w:tc>
        <w:tc>
          <w:tcPr>
            <w:tcW w:w="2409" w:type="dxa"/>
            <w:vAlign w:val="center"/>
          </w:tcPr>
          <w:p w:rsidR="0056484C" w:rsidRPr="00FD3224" w:rsidRDefault="00F2547B" w:rsidP="0056484C">
            <w:pPr>
              <w:ind w:right="743"/>
              <w:jc w:val="right"/>
              <w:cnfStyle w:val="0000001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483B7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83B7C">
              <w:rPr>
                <w:b/>
                <w:noProof/>
              </w:rPr>
              <w:t>152.132</w:t>
            </w:r>
            <w:r>
              <w:rPr>
                <w:b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56484C" w:rsidRPr="00FD3224" w:rsidRDefault="00F2547B" w:rsidP="0056484C">
            <w:pPr>
              <w:ind w:right="283"/>
              <w:jc w:val="right"/>
              <w:cnfStyle w:val="0000001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483B7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83B7C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483B7C">
              <w:rPr>
                <w:b/>
              </w:rPr>
              <w:t>,00</w:t>
            </w:r>
          </w:p>
        </w:tc>
      </w:tr>
    </w:tbl>
    <w:p w:rsidR="0056484C" w:rsidRDefault="0056484C" w:rsidP="0056484C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66675</wp:posOffset>
            </wp:positionV>
            <wp:extent cx="3985260" cy="1676400"/>
            <wp:effectExtent l="19050" t="0" r="0" b="0"/>
            <wp:wrapSquare wrapText="bothSides"/>
            <wp:docPr id="11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rPr>
          <w:szCs w:val="24"/>
        </w:rPr>
        <w:br w:type="textWrapping" w:clear="all"/>
      </w:r>
      <w:r w:rsidRPr="00F56197">
        <w:rPr>
          <w:sz w:val="20"/>
          <w:szCs w:val="20"/>
        </w:rPr>
        <w:t xml:space="preserve">Graf </w:t>
      </w:r>
      <w:r>
        <w:rPr>
          <w:sz w:val="20"/>
          <w:szCs w:val="20"/>
        </w:rPr>
        <w:t xml:space="preserve">10. Struktura ostvarenih kapitalnih </w:t>
      </w:r>
      <w:proofErr w:type="spellStart"/>
      <w:r>
        <w:rPr>
          <w:sz w:val="20"/>
          <w:szCs w:val="20"/>
        </w:rPr>
        <w:t>grantova</w:t>
      </w:r>
      <w:proofErr w:type="spellEnd"/>
      <w:r w:rsidRPr="00F56197">
        <w:rPr>
          <w:sz w:val="20"/>
          <w:szCs w:val="20"/>
        </w:rPr>
        <w:t xml:space="preserve"> Proračuna </w:t>
      </w:r>
      <w:r>
        <w:rPr>
          <w:sz w:val="20"/>
          <w:szCs w:val="20"/>
        </w:rPr>
        <w:t>ŽP</w:t>
      </w:r>
      <w:r w:rsidRPr="00F56197">
        <w:rPr>
          <w:sz w:val="20"/>
          <w:szCs w:val="20"/>
        </w:rPr>
        <w:t xml:space="preserve"> u 201</w:t>
      </w:r>
      <w:r>
        <w:rPr>
          <w:sz w:val="20"/>
          <w:szCs w:val="20"/>
        </w:rPr>
        <w:t>9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891F5B" w:rsidRPr="00A12B5C" w:rsidRDefault="00891F5B" w:rsidP="00891F5B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B7775A" w:rsidRPr="00A12B5C" w:rsidRDefault="00AD16F2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  <w:r w:rsidRPr="00C531AC">
        <w:rPr>
          <w:b/>
          <w:bCs/>
          <w:i/>
        </w:rPr>
        <w:t>1</w:t>
      </w:r>
      <w:r w:rsidR="00B7775A" w:rsidRPr="00C531AC">
        <w:rPr>
          <w:b/>
          <w:bCs/>
          <w:i/>
        </w:rPr>
        <w:t xml:space="preserve">.5 </w:t>
      </w:r>
      <w:r w:rsidR="00B7775A" w:rsidRPr="00C531AC">
        <w:rPr>
          <w:b/>
          <w:bCs/>
          <w:i/>
        </w:rPr>
        <w:tab/>
        <w:t>PRIHODI PO OSNOVI ZAOSTALIH OBVEZA</w:t>
      </w:r>
    </w:p>
    <w:p w:rsidR="00B7775A" w:rsidRPr="00A12B5C" w:rsidRDefault="00B7775A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7775A" w:rsidRPr="00A12B5C" w:rsidRDefault="00B7775A" w:rsidP="00B7775A">
      <w:pPr>
        <w:pStyle w:val="Uvuenotijeloteksta"/>
        <w:spacing w:line="240" w:lineRule="auto"/>
        <w:ind w:firstLine="0"/>
      </w:pPr>
      <w:r w:rsidRPr="00A12B5C">
        <w:t xml:space="preserve">Prihodi po osnovi zaostalih obveza (kategorija 770000) ostvareni su u iznosu od </w:t>
      </w:r>
      <w:r w:rsidR="00C531AC">
        <w:t>1.315</w:t>
      </w:r>
      <w:r w:rsidRPr="00A12B5C">
        <w:t xml:space="preserve"> KM, što iznosi </w:t>
      </w:r>
      <w:r w:rsidR="00C531AC">
        <w:t>77,81</w:t>
      </w:r>
      <w:r w:rsidRPr="00A12B5C">
        <w:t>% ukupno planiranih prihoda po ovoj osnovi u fiskalnoj 201</w:t>
      </w:r>
      <w:r w:rsidR="003A05D0">
        <w:t>9</w:t>
      </w:r>
      <w:r w:rsidRPr="00A12B5C">
        <w:t>. godini. Ovdje se radi o uplatama zaostalih prihoda od poreza na promet visokotarifnih proizvoda kao i uplatama zaostalih obveza od naknada za putove iz cijene nafte i naftnih derivata</w:t>
      </w:r>
      <w:r w:rsidR="00AD16F2" w:rsidRPr="00A12B5C">
        <w:t xml:space="preserve">, koji </w:t>
      </w:r>
      <w:r w:rsidR="0009476C" w:rsidRPr="00A12B5C">
        <w:t xml:space="preserve">bi </w:t>
      </w:r>
      <w:r w:rsidR="00AD16F2" w:rsidRPr="00A12B5C">
        <w:t xml:space="preserve">se iz godine u godinu </w:t>
      </w:r>
      <w:r w:rsidR="0009476C" w:rsidRPr="00A12B5C">
        <w:t xml:space="preserve">trebali </w:t>
      </w:r>
      <w:r w:rsidR="00AD16F2" w:rsidRPr="00A12B5C">
        <w:t>smanj</w:t>
      </w:r>
      <w:r w:rsidR="0009476C" w:rsidRPr="00A12B5C">
        <w:t>ivati</w:t>
      </w:r>
      <w:r w:rsidR="00AD16F2" w:rsidRPr="00A12B5C">
        <w:t>.</w:t>
      </w:r>
    </w:p>
    <w:p w:rsidR="00B50337" w:rsidRDefault="00B50337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D17290" w:rsidRDefault="00D17290" w:rsidP="00AD16F2">
      <w:pPr>
        <w:jc w:val="both"/>
        <w:rPr>
          <w:b/>
          <w:szCs w:val="24"/>
        </w:rPr>
      </w:pPr>
    </w:p>
    <w:p w:rsidR="00AD16F2" w:rsidRPr="00A12B5C" w:rsidRDefault="00AD16F2" w:rsidP="00AD16F2">
      <w:pPr>
        <w:jc w:val="both"/>
        <w:rPr>
          <w:b/>
          <w:szCs w:val="24"/>
        </w:rPr>
      </w:pPr>
      <w:r w:rsidRPr="00A12B5C">
        <w:rPr>
          <w:b/>
          <w:szCs w:val="24"/>
        </w:rPr>
        <w:t>2</w:t>
      </w:r>
      <w:r w:rsidRPr="00A12B5C">
        <w:rPr>
          <w:b/>
          <w:szCs w:val="24"/>
        </w:rPr>
        <w:tab/>
        <w:t>RASHODI I IZDACI</w:t>
      </w:r>
    </w:p>
    <w:p w:rsidR="00AD16F2" w:rsidRPr="00A12B5C" w:rsidRDefault="00AD16F2" w:rsidP="00AD16F2">
      <w:pPr>
        <w:rPr>
          <w:szCs w:val="24"/>
        </w:rPr>
      </w:pPr>
    </w:p>
    <w:p w:rsidR="00AD16F2" w:rsidRPr="00A12B5C" w:rsidRDefault="00AD16F2" w:rsidP="00AD16F2">
      <w:pPr>
        <w:pStyle w:val="Uvuenotijeloteksta"/>
        <w:spacing w:line="240" w:lineRule="auto"/>
        <w:ind w:firstLine="0"/>
      </w:pPr>
      <w:r w:rsidRPr="00A12B5C">
        <w:t xml:space="preserve">Ukupni rashodi </w:t>
      </w:r>
      <w:r w:rsidR="00BE2A6C" w:rsidRPr="00A12B5C">
        <w:t xml:space="preserve">i izdaci Proračuna za </w:t>
      </w:r>
      <w:r w:rsidRPr="00A12B5C">
        <w:t>201</w:t>
      </w:r>
      <w:r w:rsidR="00E61D8C">
        <w:t>9</w:t>
      </w:r>
      <w:r w:rsidRPr="00A12B5C">
        <w:t>.</w:t>
      </w:r>
      <w:r w:rsidR="00DA222E" w:rsidRPr="00A12B5C">
        <w:t xml:space="preserve"> </w:t>
      </w:r>
      <w:r w:rsidRPr="00A12B5C">
        <w:t>godin</w:t>
      </w:r>
      <w:r w:rsidR="00BE2A6C" w:rsidRPr="00A12B5C">
        <w:t>u</w:t>
      </w:r>
      <w:r w:rsidRPr="00A12B5C">
        <w:t xml:space="preserve"> izvršeni su u iznosu od </w:t>
      </w:r>
      <w:r w:rsidR="00003BC0" w:rsidRPr="00A12B5C">
        <w:t>41</w:t>
      </w:r>
      <w:r w:rsidR="00735938" w:rsidRPr="00A12B5C">
        <w:t>.</w:t>
      </w:r>
      <w:r w:rsidR="00E61D8C">
        <w:t>068</w:t>
      </w:r>
      <w:r w:rsidR="00735938" w:rsidRPr="00A12B5C">
        <w:t>.</w:t>
      </w:r>
      <w:r w:rsidR="00E61D8C">
        <w:t>593</w:t>
      </w:r>
      <w:r w:rsidRPr="00A12B5C">
        <w:t xml:space="preserve"> KM, odnosno </w:t>
      </w:r>
      <w:r w:rsidR="00DA222E" w:rsidRPr="00A12B5C">
        <w:t>97,</w:t>
      </w:r>
      <w:r w:rsidR="00E61D8C">
        <w:t>78</w:t>
      </w:r>
      <w:r w:rsidRPr="00A12B5C">
        <w:t>% u odnosu na planirane</w:t>
      </w:r>
      <w:r w:rsidR="00E61D8C">
        <w:t>, ili 932.287 KM manje od plana.</w:t>
      </w:r>
      <w:r w:rsidRPr="00A12B5C">
        <w:t xml:space="preserve"> Izvršenje rashoda i izdataka u 201</w:t>
      </w:r>
      <w:r w:rsidR="00E61D8C">
        <w:t>9</w:t>
      </w:r>
      <w:r w:rsidRPr="00A12B5C">
        <w:t>. godin</w:t>
      </w:r>
      <w:r w:rsidR="00BE2A6C" w:rsidRPr="00A12B5C">
        <w:t>i</w:t>
      </w:r>
      <w:r w:rsidRPr="00A12B5C">
        <w:t xml:space="preserve"> je za </w:t>
      </w:r>
      <w:r w:rsidR="00E61D8C">
        <w:t>0,29</w:t>
      </w:r>
      <w:r w:rsidRPr="00A12B5C">
        <w:t xml:space="preserve">% odnosno za </w:t>
      </w:r>
      <w:r w:rsidR="00E61D8C">
        <w:t>119.653</w:t>
      </w:r>
      <w:r w:rsidRPr="00A12B5C">
        <w:t xml:space="preserve"> KM </w:t>
      </w:r>
      <w:r w:rsidR="00E61D8C">
        <w:t>manje</w:t>
      </w:r>
      <w:r w:rsidRPr="00A12B5C">
        <w:t xml:space="preserve"> od izvršenja rashoda u 201</w:t>
      </w:r>
      <w:r w:rsidR="00E61D8C">
        <w:t>8</w:t>
      </w:r>
      <w:r w:rsidRPr="00A12B5C">
        <w:t>. godin</w:t>
      </w:r>
      <w:r w:rsidR="00BE2A6C" w:rsidRPr="00A12B5C">
        <w:t>i</w:t>
      </w:r>
      <w:r w:rsidRPr="00A12B5C">
        <w:t>.</w:t>
      </w:r>
      <w:r w:rsidR="00D17290">
        <w:t xml:space="preserve"> </w:t>
      </w:r>
      <w:r w:rsidRPr="00A12B5C">
        <w:t xml:space="preserve">Pregled izvršenih </w:t>
      </w:r>
      <w:r w:rsidR="00B06E8D" w:rsidRPr="00A12B5C">
        <w:t>rashoda i izdataka</w:t>
      </w:r>
      <w:r w:rsidRPr="00A12B5C">
        <w:t xml:space="preserve"> Proračuna Županije Posavske u 201</w:t>
      </w:r>
      <w:r w:rsidR="00E61D8C">
        <w:t>9</w:t>
      </w:r>
      <w:r w:rsidRPr="00A12B5C">
        <w:t>. godin</w:t>
      </w:r>
      <w:r w:rsidR="00BE2A6C" w:rsidRPr="00A12B5C">
        <w:t>i</w:t>
      </w:r>
      <w:r w:rsidRPr="00A12B5C">
        <w:t xml:space="preserve"> prikazan je po mjesecima na Grafu </w:t>
      </w:r>
      <w:r w:rsidR="00A832B5" w:rsidRPr="00A12B5C">
        <w:t>11</w:t>
      </w:r>
      <w:r w:rsidRPr="00A12B5C">
        <w:t>.</w:t>
      </w:r>
    </w:p>
    <w:p w:rsidR="00AD16F2" w:rsidRPr="00A12B5C" w:rsidRDefault="00AD16F2" w:rsidP="00AD16F2">
      <w:pPr>
        <w:pStyle w:val="Uvuenotijeloteksta"/>
        <w:spacing w:line="240" w:lineRule="auto"/>
        <w:ind w:firstLine="0"/>
      </w:pPr>
    </w:p>
    <w:p w:rsidR="00AD16F2" w:rsidRPr="00A12B5C" w:rsidRDefault="00AD16F2" w:rsidP="00AD16F2">
      <w:pPr>
        <w:jc w:val="center"/>
      </w:pPr>
      <w:r w:rsidRPr="00A12B5C">
        <w:rPr>
          <w:noProof/>
          <w:lang w:eastAsia="hr-HR"/>
        </w:rPr>
        <w:drawing>
          <wp:inline distT="0" distB="0" distL="0" distR="0">
            <wp:extent cx="4112472" cy="2218267"/>
            <wp:effectExtent l="19050" t="0" r="21378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D16F2" w:rsidRPr="00A12B5C" w:rsidRDefault="00AD16F2" w:rsidP="00B8321D">
      <w:pPr>
        <w:jc w:val="center"/>
        <w:rPr>
          <w:sz w:val="20"/>
          <w:szCs w:val="20"/>
        </w:rPr>
      </w:pPr>
      <w:r w:rsidRPr="00A12B5C">
        <w:rPr>
          <w:sz w:val="20"/>
          <w:szCs w:val="20"/>
        </w:rPr>
        <w:t xml:space="preserve">Graf </w:t>
      </w:r>
      <w:r w:rsidR="00A832B5" w:rsidRPr="00A12B5C">
        <w:rPr>
          <w:sz w:val="20"/>
          <w:szCs w:val="20"/>
        </w:rPr>
        <w:t>11</w:t>
      </w:r>
      <w:r w:rsidRPr="00A12B5C">
        <w:rPr>
          <w:sz w:val="20"/>
          <w:szCs w:val="20"/>
        </w:rPr>
        <w:t xml:space="preserve">. Izvršenje </w:t>
      </w:r>
      <w:r w:rsidR="00541C44" w:rsidRPr="00A12B5C">
        <w:rPr>
          <w:sz w:val="20"/>
          <w:szCs w:val="20"/>
        </w:rPr>
        <w:t xml:space="preserve">rashoda i </w:t>
      </w:r>
      <w:r w:rsidRPr="00A12B5C">
        <w:rPr>
          <w:sz w:val="20"/>
          <w:szCs w:val="20"/>
        </w:rPr>
        <w:t xml:space="preserve">izdataka Proračuna </w:t>
      </w:r>
      <w:r w:rsidR="00541C44" w:rsidRPr="00A12B5C">
        <w:rPr>
          <w:sz w:val="20"/>
          <w:szCs w:val="20"/>
        </w:rPr>
        <w:t>ŽP</w:t>
      </w:r>
      <w:r w:rsidRPr="00A12B5C">
        <w:rPr>
          <w:sz w:val="20"/>
          <w:szCs w:val="20"/>
        </w:rPr>
        <w:t xml:space="preserve"> u 201</w:t>
      </w:r>
      <w:r w:rsidR="00E61D8C">
        <w:rPr>
          <w:sz w:val="20"/>
          <w:szCs w:val="20"/>
        </w:rPr>
        <w:t>9</w:t>
      </w:r>
      <w:r w:rsidRPr="00A12B5C">
        <w:rPr>
          <w:sz w:val="20"/>
          <w:szCs w:val="20"/>
        </w:rPr>
        <w:t>. godin</w:t>
      </w:r>
      <w:r w:rsidR="00BE2A6C" w:rsidRPr="00A12B5C">
        <w:rPr>
          <w:sz w:val="20"/>
          <w:szCs w:val="20"/>
        </w:rPr>
        <w:t>i</w:t>
      </w:r>
      <w:r w:rsidRPr="00A12B5C">
        <w:rPr>
          <w:sz w:val="20"/>
          <w:szCs w:val="20"/>
        </w:rPr>
        <w:t xml:space="preserve"> po mjesecima (u KM)</w:t>
      </w:r>
    </w:p>
    <w:p w:rsidR="00AD16F2" w:rsidRPr="00A12B5C" w:rsidRDefault="00541C44" w:rsidP="00AD16F2">
      <w:pPr>
        <w:pStyle w:val="Uvuenotijeloteksta"/>
        <w:spacing w:line="240" w:lineRule="auto"/>
        <w:ind w:firstLine="0"/>
        <w:rPr>
          <w:i/>
        </w:rPr>
      </w:pPr>
      <w:r w:rsidRPr="00A12B5C">
        <w:rPr>
          <w:b/>
          <w:bCs/>
          <w:i/>
        </w:rPr>
        <w:lastRenderedPageBreak/>
        <w:t>2</w:t>
      </w:r>
      <w:r w:rsidR="00AD16F2" w:rsidRPr="00A12B5C">
        <w:rPr>
          <w:b/>
          <w:bCs/>
          <w:i/>
        </w:rPr>
        <w:t xml:space="preserve">.1 </w:t>
      </w:r>
      <w:r w:rsidR="00AD16F2" w:rsidRPr="00A12B5C">
        <w:rPr>
          <w:b/>
          <w:bCs/>
          <w:i/>
        </w:rPr>
        <w:tab/>
      </w:r>
      <w:r w:rsidR="00B8321D" w:rsidRPr="00A12B5C">
        <w:rPr>
          <w:b/>
          <w:bCs/>
          <w:i/>
        </w:rPr>
        <w:t xml:space="preserve">PRORAČUNSKI </w:t>
      </w:r>
      <w:r w:rsidRPr="00A12B5C">
        <w:rPr>
          <w:b/>
          <w:bCs/>
          <w:i/>
        </w:rPr>
        <w:t>RASHODI</w:t>
      </w:r>
    </w:p>
    <w:p w:rsidR="00AD16F2" w:rsidRPr="00A12B5C" w:rsidRDefault="00AD16F2" w:rsidP="00AD16F2">
      <w:pPr>
        <w:pStyle w:val="Uvuenotijeloteksta"/>
        <w:spacing w:line="240" w:lineRule="auto"/>
        <w:ind w:left="360" w:firstLine="0"/>
        <w:rPr>
          <w:b/>
          <w:bCs/>
        </w:rPr>
      </w:pPr>
    </w:p>
    <w:p w:rsidR="00AD16F2" w:rsidRPr="00A12B5C" w:rsidRDefault="00541C44" w:rsidP="00AD16F2">
      <w:pPr>
        <w:pStyle w:val="Uvuenotijeloteksta"/>
        <w:spacing w:line="240" w:lineRule="auto"/>
        <w:ind w:firstLine="0"/>
      </w:pPr>
      <w:r w:rsidRPr="00A12B5C">
        <w:t>Proračunski rashodi</w:t>
      </w:r>
      <w:r w:rsidR="00AD16F2" w:rsidRPr="00A12B5C">
        <w:t xml:space="preserve"> (</w:t>
      </w:r>
      <w:r w:rsidRPr="00A12B5C">
        <w:t xml:space="preserve">uključuju </w:t>
      </w:r>
      <w:r w:rsidR="00AD16F2" w:rsidRPr="00A12B5C">
        <w:t xml:space="preserve">potkategorije: </w:t>
      </w:r>
      <w:r w:rsidRPr="00A12B5C">
        <w:t xml:space="preserve">tekuća pričuva – 600000, plaće i naknade troškova zaposlenih – </w:t>
      </w:r>
      <w:r w:rsidR="00AD16F2" w:rsidRPr="00A12B5C">
        <w:t xml:space="preserve">611000, </w:t>
      </w:r>
      <w:r w:rsidRPr="00A12B5C">
        <w:t xml:space="preserve">doprinosi poslodavca i ostali doprinosi – </w:t>
      </w:r>
      <w:r w:rsidR="00AD16F2" w:rsidRPr="00A12B5C">
        <w:t xml:space="preserve">612000, </w:t>
      </w:r>
      <w:r w:rsidRPr="00A12B5C">
        <w:t xml:space="preserve">izdaci za materijal, sitan inventar i usluge – 61300, tekući grantovi i drugi tekući rashodi – </w:t>
      </w:r>
      <w:r w:rsidR="00AD16F2" w:rsidRPr="00A12B5C">
        <w:t>614000</w:t>
      </w:r>
      <w:r w:rsidR="00B8321D" w:rsidRPr="00A12B5C">
        <w:t>, kapitalni grantovi – 615000, i izdaci za kamate - 616000</w:t>
      </w:r>
      <w:r w:rsidR="00AD16F2" w:rsidRPr="00A12B5C">
        <w:t xml:space="preserve">) ostvareni su u visini od </w:t>
      </w:r>
      <w:r w:rsidR="00E61D8C">
        <w:t>39.369.411</w:t>
      </w:r>
      <w:r w:rsidR="00AD16F2" w:rsidRPr="00A12B5C">
        <w:t xml:space="preserve"> KM, odnosno </w:t>
      </w:r>
      <w:r w:rsidR="00E61D8C">
        <w:t>98,84</w:t>
      </w:r>
      <w:r w:rsidR="00AD16F2" w:rsidRPr="00A12B5C">
        <w:t>% u odnosu na planirano</w:t>
      </w:r>
      <w:r w:rsidR="00E61D8C">
        <w:t>,</w:t>
      </w:r>
      <w:r w:rsidR="00A56837" w:rsidRPr="00A12B5C">
        <w:t xml:space="preserve"> ili u apsolutnom iznosu realizirano je </w:t>
      </w:r>
      <w:r w:rsidR="00E61D8C">
        <w:t>463.729</w:t>
      </w:r>
      <w:r w:rsidR="00A56837" w:rsidRPr="00A12B5C">
        <w:t xml:space="preserve"> KM rashoda manje od plana</w:t>
      </w:r>
      <w:r w:rsidR="00AD16F2" w:rsidRPr="00A12B5C">
        <w:t xml:space="preserve">. Učešće </w:t>
      </w:r>
      <w:r w:rsidRPr="00A12B5C">
        <w:t>proračunskih rashoda</w:t>
      </w:r>
      <w:r w:rsidR="00AD16F2" w:rsidRPr="00A12B5C">
        <w:t xml:space="preserve"> u ukupnim </w:t>
      </w:r>
      <w:r w:rsidRPr="00A12B5C">
        <w:t xml:space="preserve">rashodima i </w:t>
      </w:r>
      <w:r w:rsidR="00AD16F2" w:rsidRPr="00A12B5C">
        <w:t xml:space="preserve">izdacima iznosi </w:t>
      </w:r>
      <w:r w:rsidR="00E61D8C">
        <w:t>95,86</w:t>
      </w:r>
      <w:r w:rsidR="00AD16F2" w:rsidRPr="00A12B5C">
        <w:t xml:space="preserve">%. U nastavku slijedi tablični i grafički prikaz strukture izvršenih </w:t>
      </w:r>
      <w:r w:rsidR="007C050D" w:rsidRPr="00A12B5C">
        <w:t xml:space="preserve">proračunskih </w:t>
      </w:r>
      <w:r w:rsidRPr="00A12B5C">
        <w:t>rashoda</w:t>
      </w:r>
      <w:r w:rsidR="00AD16F2" w:rsidRPr="00A12B5C">
        <w:t xml:space="preserve"> Proračuna Županije Posavske u 201</w:t>
      </w:r>
      <w:r w:rsidR="00E61D8C">
        <w:t>9</w:t>
      </w:r>
      <w:r w:rsidR="00AD16F2" w:rsidRPr="00A12B5C">
        <w:t>.godin</w:t>
      </w:r>
      <w:r w:rsidR="00A56837" w:rsidRPr="00A12B5C">
        <w:t>i</w:t>
      </w:r>
      <w:r w:rsidR="00AD16F2" w:rsidRPr="00A12B5C">
        <w:t>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AD16F2" w:rsidRPr="00A12B5C" w:rsidRDefault="00AD16F2" w:rsidP="00AD16F2">
      <w:pPr>
        <w:jc w:val="both"/>
        <w:rPr>
          <w:sz w:val="20"/>
          <w:szCs w:val="20"/>
        </w:rPr>
      </w:pPr>
      <w:r w:rsidRPr="00A12B5C">
        <w:rPr>
          <w:sz w:val="20"/>
          <w:szCs w:val="20"/>
        </w:rPr>
        <w:t xml:space="preserve">Tablica </w:t>
      </w:r>
      <w:r w:rsidR="00A832B5" w:rsidRPr="00A12B5C">
        <w:rPr>
          <w:sz w:val="20"/>
          <w:szCs w:val="20"/>
        </w:rPr>
        <w:t>10</w:t>
      </w:r>
      <w:r w:rsidRPr="00A12B5C">
        <w:rPr>
          <w:sz w:val="20"/>
          <w:szCs w:val="20"/>
        </w:rPr>
        <w:t xml:space="preserve">. Struktura izvršenih </w:t>
      </w:r>
      <w:r w:rsidR="007C050D" w:rsidRPr="00A12B5C">
        <w:rPr>
          <w:sz w:val="20"/>
          <w:szCs w:val="20"/>
        </w:rPr>
        <w:t xml:space="preserve">proračunskih </w:t>
      </w:r>
      <w:r w:rsidR="00541C44" w:rsidRPr="00A12B5C">
        <w:rPr>
          <w:sz w:val="20"/>
          <w:szCs w:val="20"/>
        </w:rPr>
        <w:t>rashoda</w:t>
      </w:r>
      <w:r w:rsidRPr="00A12B5C">
        <w:rPr>
          <w:sz w:val="20"/>
          <w:szCs w:val="20"/>
        </w:rPr>
        <w:t xml:space="preserve"> Proračuna </w:t>
      </w:r>
      <w:proofErr w:type="spellStart"/>
      <w:r w:rsidRPr="00A12B5C">
        <w:rPr>
          <w:sz w:val="20"/>
          <w:szCs w:val="20"/>
        </w:rPr>
        <w:t>Žup.Posavske</w:t>
      </w:r>
      <w:proofErr w:type="spellEnd"/>
      <w:r w:rsidRPr="00A12B5C">
        <w:rPr>
          <w:sz w:val="20"/>
          <w:szCs w:val="20"/>
        </w:rPr>
        <w:t xml:space="preserve"> u 201</w:t>
      </w:r>
      <w:r w:rsidR="00E61D8C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AD16F2" w:rsidRPr="00A12B5C" w:rsidTr="005614C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AD16F2" w:rsidRPr="00A12B5C" w:rsidRDefault="00AD16F2" w:rsidP="005614C7">
            <w:pPr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AD16F2" w:rsidRPr="00A12B5C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Ostvareno</w:t>
            </w:r>
          </w:p>
          <w:p w:rsidR="00AD16F2" w:rsidRPr="00A12B5C" w:rsidRDefault="00AD16F2" w:rsidP="00003BC0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201</w:t>
            </w:r>
            <w:r w:rsidR="00E61D8C">
              <w:rPr>
                <w:b/>
                <w:sz w:val="22"/>
              </w:rPr>
              <w:t>9</w:t>
            </w:r>
            <w:r w:rsidRPr="00A12B5C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AD16F2" w:rsidRPr="00A12B5C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 xml:space="preserve">% </w:t>
            </w:r>
          </w:p>
          <w:p w:rsidR="00AD16F2" w:rsidRPr="00A12B5C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učešća</w:t>
            </w:r>
          </w:p>
        </w:tc>
      </w:tr>
      <w:tr w:rsidR="00AD16F2" w:rsidRPr="00A12B5C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2B5C" w:rsidRDefault="00AD16F2" w:rsidP="005614C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Rashodi – tekuća pričuva</w:t>
            </w:r>
          </w:p>
        </w:tc>
        <w:tc>
          <w:tcPr>
            <w:tcW w:w="3260" w:type="dxa"/>
          </w:tcPr>
          <w:p w:rsidR="00AD16F2" w:rsidRPr="00A12B5C" w:rsidRDefault="00B126B8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609.613</w:t>
            </w:r>
          </w:p>
        </w:tc>
        <w:tc>
          <w:tcPr>
            <w:tcW w:w="1525" w:type="dxa"/>
          </w:tcPr>
          <w:p w:rsidR="00AD16F2" w:rsidRPr="00A12B5C" w:rsidRDefault="00B126B8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1,55</w:t>
            </w:r>
          </w:p>
        </w:tc>
      </w:tr>
      <w:tr w:rsidR="00AD16F2" w:rsidRPr="00A12B5C" w:rsidTr="005614C7">
        <w:tc>
          <w:tcPr>
            <w:cnfStyle w:val="001000000000"/>
            <w:tcW w:w="4503" w:type="dxa"/>
          </w:tcPr>
          <w:p w:rsidR="00AD16F2" w:rsidRPr="00A12B5C" w:rsidRDefault="00AD16F2" w:rsidP="005614C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Plaće i naknade troškova zaposlenih</w:t>
            </w:r>
          </w:p>
        </w:tc>
        <w:tc>
          <w:tcPr>
            <w:tcW w:w="3260" w:type="dxa"/>
          </w:tcPr>
          <w:p w:rsidR="00AD16F2" w:rsidRPr="00A12B5C" w:rsidRDefault="00B126B8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21.036.637</w:t>
            </w:r>
          </w:p>
        </w:tc>
        <w:tc>
          <w:tcPr>
            <w:tcW w:w="1525" w:type="dxa"/>
          </w:tcPr>
          <w:p w:rsidR="00AD16F2" w:rsidRPr="00A12B5C" w:rsidRDefault="00B126B8" w:rsidP="007F2FF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53,43</w:t>
            </w:r>
          </w:p>
        </w:tc>
      </w:tr>
      <w:tr w:rsidR="00AD16F2" w:rsidRPr="00A12B5C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2B5C" w:rsidRDefault="00AD16F2" w:rsidP="005614C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Doprinosi poslodavca i ostali doprinosi</w:t>
            </w:r>
          </w:p>
        </w:tc>
        <w:tc>
          <w:tcPr>
            <w:tcW w:w="3260" w:type="dxa"/>
          </w:tcPr>
          <w:p w:rsidR="00AD16F2" w:rsidRPr="00A12B5C" w:rsidRDefault="00B126B8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2.072.125</w:t>
            </w:r>
          </w:p>
        </w:tc>
        <w:tc>
          <w:tcPr>
            <w:tcW w:w="1525" w:type="dxa"/>
          </w:tcPr>
          <w:p w:rsidR="00AD16F2" w:rsidRPr="00A12B5C" w:rsidRDefault="00B126B8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5,26</w:t>
            </w:r>
          </w:p>
        </w:tc>
      </w:tr>
      <w:tr w:rsidR="00AD16F2" w:rsidRPr="00A12B5C" w:rsidTr="005614C7">
        <w:tc>
          <w:tcPr>
            <w:cnfStyle w:val="001000000000"/>
            <w:tcW w:w="4503" w:type="dxa"/>
          </w:tcPr>
          <w:p w:rsidR="00AD16F2" w:rsidRPr="00A12B5C" w:rsidRDefault="00AD16F2" w:rsidP="005614C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Izdaci za materijal, sitan inventar i usluge</w:t>
            </w:r>
          </w:p>
        </w:tc>
        <w:tc>
          <w:tcPr>
            <w:tcW w:w="3260" w:type="dxa"/>
          </w:tcPr>
          <w:p w:rsidR="00AD16F2" w:rsidRPr="00A12B5C" w:rsidRDefault="00B126B8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3.945.194</w:t>
            </w:r>
          </w:p>
        </w:tc>
        <w:tc>
          <w:tcPr>
            <w:tcW w:w="1525" w:type="dxa"/>
          </w:tcPr>
          <w:p w:rsidR="00AD16F2" w:rsidRPr="00A12B5C" w:rsidRDefault="00B126B8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10,02</w:t>
            </w:r>
          </w:p>
        </w:tc>
      </w:tr>
      <w:tr w:rsidR="00AD16F2" w:rsidRPr="00A12B5C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2B5C" w:rsidRDefault="00AD16F2" w:rsidP="005614C7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Tekući grantovi i drugi tekući rashodi</w:t>
            </w:r>
          </w:p>
        </w:tc>
        <w:tc>
          <w:tcPr>
            <w:tcW w:w="3260" w:type="dxa"/>
          </w:tcPr>
          <w:p w:rsidR="00AD16F2" w:rsidRPr="00A12B5C" w:rsidRDefault="00B126B8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11.254.222</w:t>
            </w:r>
          </w:p>
        </w:tc>
        <w:tc>
          <w:tcPr>
            <w:tcW w:w="1525" w:type="dxa"/>
          </w:tcPr>
          <w:p w:rsidR="00AD16F2" w:rsidRPr="00A12B5C" w:rsidRDefault="00B126B8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28,59</w:t>
            </w:r>
          </w:p>
        </w:tc>
      </w:tr>
      <w:tr w:rsidR="00B8321D" w:rsidRPr="00A12B5C" w:rsidTr="00BC51F6">
        <w:tc>
          <w:tcPr>
            <w:cnfStyle w:val="001000000000"/>
            <w:tcW w:w="4503" w:type="dxa"/>
          </w:tcPr>
          <w:p w:rsidR="00B8321D" w:rsidRPr="00A12B5C" w:rsidRDefault="00B8321D" w:rsidP="00BC51F6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Kapitalni grantovi</w:t>
            </w:r>
          </w:p>
        </w:tc>
        <w:tc>
          <w:tcPr>
            <w:tcW w:w="3260" w:type="dxa"/>
          </w:tcPr>
          <w:p w:rsidR="00B8321D" w:rsidRPr="00A12B5C" w:rsidRDefault="00B126B8" w:rsidP="00BC51F6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400.000</w:t>
            </w:r>
          </w:p>
        </w:tc>
        <w:tc>
          <w:tcPr>
            <w:tcW w:w="1525" w:type="dxa"/>
          </w:tcPr>
          <w:p w:rsidR="00B8321D" w:rsidRPr="00A12B5C" w:rsidRDefault="00B126B8" w:rsidP="00BC51F6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</w:tr>
      <w:tr w:rsidR="00B8321D" w:rsidRPr="00A12B5C" w:rsidTr="00BC51F6">
        <w:trPr>
          <w:cnfStyle w:val="000000100000"/>
        </w:trPr>
        <w:tc>
          <w:tcPr>
            <w:cnfStyle w:val="001000000000"/>
            <w:tcW w:w="4503" w:type="dxa"/>
          </w:tcPr>
          <w:p w:rsidR="00B8321D" w:rsidRPr="00A12B5C" w:rsidRDefault="00B8321D" w:rsidP="00BC51F6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Izdaci za kamate</w:t>
            </w:r>
          </w:p>
        </w:tc>
        <w:tc>
          <w:tcPr>
            <w:tcW w:w="3260" w:type="dxa"/>
          </w:tcPr>
          <w:p w:rsidR="00B8321D" w:rsidRPr="00A12B5C" w:rsidRDefault="00B126B8" w:rsidP="00BC51F6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51.620</w:t>
            </w:r>
          </w:p>
        </w:tc>
        <w:tc>
          <w:tcPr>
            <w:tcW w:w="1525" w:type="dxa"/>
          </w:tcPr>
          <w:p w:rsidR="00B8321D" w:rsidRPr="00A12B5C" w:rsidRDefault="00B126B8" w:rsidP="00BC51F6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</w:tr>
      <w:tr w:rsidR="00AD16F2" w:rsidRPr="00A12B5C" w:rsidTr="005614C7">
        <w:tc>
          <w:tcPr>
            <w:cnfStyle w:val="001000000000"/>
            <w:tcW w:w="4503" w:type="dxa"/>
          </w:tcPr>
          <w:p w:rsidR="00AD16F2" w:rsidRPr="00A12B5C" w:rsidRDefault="00AD16F2" w:rsidP="005614C7">
            <w:pPr>
              <w:jc w:val="both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AD16F2" w:rsidRPr="00A12B5C" w:rsidRDefault="00F2547B" w:rsidP="005614C7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B126B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B126B8">
              <w:rPr>
                <w:b/>
                <w:noProof/>
                <w:sz w:val="22"/>
              </w:rPr>
              <w:t>39.369.411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AD16F2" w:rsidRPr="00A12B5C" w:rsidRDefault="00F2547B" w:rsidP="005614C7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B126B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B126B8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B126B8">
              <w:rPr>
                <w:b/>
                <w:sz w:val="22"/>
              </w:rPr>
              <w:t>,00</w:t>
            </w:r>
          </w:p>
        </w:tc>
      </w:tr>
    </w:tbl>
    <w:p w:rsidR="00AD16F2" w:rsidRPr="00A12B5C" w:rsidRDefault="00AD16F2" w:rsidP="00AD16F2">
      <w:pPr>
        <w:pStyle w:val="Uvuenotijeloteksta"/>
        <w:spacing w:line="240" w:lineRule="auto"/>
        <w:ind w:firstLine="0"/>
        <w:jc w:val="center"/>
      </w:pPr>
      <w:r w:rsidRPr="00A12B5C">
        <w:rPr>
          <w:noProof/>
          <w:lang w:eastAsia="hr-HR"/>
        </w:rPr>
        <w:drawing>
          <wp:inline distT="0" distB="0" distL="0" distR="0">
            <wp:extent cx="5659717" cy="2205318"/>
            <wp:effectExtent l="1905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D16F2" w:rsidRPr="00A12B5C" w:rsidRDefault="00AD16F2" w:rsidP="00AD16F2">
      <w:pPr>
        <w:jc w:val="center"/>
        <w:rPr>
          <w:sz w:val="20"/>
          <w:szCs w:val="20"/>
        </w:rPr>
      </w:pPr>
      <w:r w:rsidRPr="00A12B5C">
        <w:rPr>
          <w:sz w:val="20"/>
          <w:szCs w:val="20"/>
        </w:rPr>
        <w:t xml:space="preserve">Graf </w:t>
      </w:r>
      <w:r w:rsidR="00A832B5" w:rsidRPr="00A12B5C">
        <w:rPr>
          <w:sz w:val="20"/>
          <w:szCs w:val="20"/>
        </w:rPr>
        <w:t>12</w:t>
      </w:r>
      <w:r w:rsidRPr="00A12B5C">
        <w:rPr>
          <w:sz w:val="20"/>
          <w:szCs w:val="20"/>
        </w:rPr>
        <w:t xml:space="preserve">. Struktura izvršenih </w:t>
      </w:r>
      <w:r w:rsidR="007C050D" w:rsidRPr="00A12B5C">
        <w:rPr>
          <w:sz w:val="20"/>
          <w:szCs w:val="20"/>
        </w:rPr>
        <w:t xml:space="preserve">proračunskih </w:t>
      </w:r>
      <w:r w:rsidR="00541C44" w:rsidRPr="00A12B5C">
        <w:rPr>
          <w:sz w:val="20"/>
          <w:szCs w:val="20"/>
        </w:rPr>
        <w:t>rashoda</w:t>
      </w:r>
      <w:r w:rsidRPr="00A12B5C">
        <w:rPr>
          <w:sz w:val="20"/>
          <w:szCs w:val="20"/>
        </w:rPr>
        <w:t xml:space="preserve"> Proračuna </w:t>
      </w:r>
      <w:proofErr w:type="spellStart"/>
      <w:r w:rsidRPr="00A12B5C">
        <w:rPr>
          <w:sz w:val="20"/>
          <w:szCs w:val="20"/>
        </w:rPr>
        <w:t>Žup.Posavske</w:t>
      </w:r>
      <w:proofErr w:type="spellEnd"/>
      <w:r w:rsidRPr="00A12B5C">
        <w:rPr>
          <w:sz w:val="20"/>
          <w:szCs w:val="20"/>
        </w:rPr>
        <w:t xml:space="preserve"> u 201</w:t>
      </w:r>
      <w:r w:rsidR="00B126B8">
        <w:rPr>
          <w:sz w:val="20"/>
          <w:szCs w:val="20"/>
        </w:rPr>
        <w:t>9</w:t>
      </w:r>
      <w:r w:rsidRPr="00A12B5C">
        <w:rPr>
          <w:sz w:val="20"/>
          <w:szCs w:val="20"/>
        </w:rPr>
        <w:t>. godin</w:t>
      </w:r>
      <w:r w:rsidR="00A56837" w:rsidRPr="00A12B5C">
        <w:rPr>
          <w:sz w:val="20"/>
          <w:szCs w:val="20"/>
        </w:rPr>
        <w:t>i</w:t>
      </w:r>
    </w:p>
    <w:p w:rsidR="00AD16F2" w:rsidRPr="00D17290" w:rsidRDefault="00AD16F2" w:rsidP="00AD16F2">
      <w:pPr>
        <w:pStyle w:val="Uvuenotijeloteksta"/>
        <w:spacing w:line="240" w:lineRule="auto"/>
        <w:ind w:firstLine="0"/>
        <w:rPr>
          <w:b/>
          <w:sz w:val="16"/>
          <w:szCs w:val="16"/>
        </w:rPr>
      </w:pPr>
    </w:p>
    <w:p w:rsidR="00BF4C43" w:rsidRPr="00A12B5C" w:rsidRDefault="00BF4C43" w:rsidP="00BF4C43">
      <w:pPr>
        <w:pStyle w:val="Uvuenotijeloteksta"/>
        <w:spacing w:line="240" w:lineRule="auto"/>
        <w:ind w:firstLine="0"/>
      </w:pPr>
      <w:r w:rsidRPr="00A12B5C">
        <w:t>U 201</w:t>
      </w:r>
      <w:r w:rsidR="00B126B8">
        <w:t>9</w:t>
      </w:r>
      <w:r w:rsidRPr="00A12B5C">
        <w:t>. godin</w:t>
      </w:r>
      <w:r w:rsidR="00A56837" w:rsidRPr="00A12B5C">
        <w:t>i</w:t>
      </w:r>
      <w:r w:rsidRPr="00A12B5C">
        <w:t xml:space="preserve"> po osnovi </w:t>
      </w:r>
      <w:r w:rsidRPr="00A12B5C">
        <w:rPr>
          <w:b/>
        </w:rPr>
        <w:t>tekućih pričuva</w:t>
      </w:r>
      <w:r w:rsidRPr="00A12B5C">
        <w:t xml:space="preserve"> utrošeno je </w:t>
      </w:r>
      <w:r w:rsidR="00B126B8">
        <w:t>609.613</w:t>
      </w:r>
      <w:r w:rsidRPr="00A12B5C">
        <w:t xml:space="preserve"> KM ili </w:t>
      </w:r>
      <w:r w:rsidR="007C050D" w:rsidRPr="00A12B5C">
        <w:t>99,</w:t>
      </w:r>
      <w:r w:rsidR="00B126B8">
        <w:t>94</w:t>
      </w:r>
      <w:r w:rsidRPr="00A12B5C">
        <w:t>% ukupno planiranih rashoda po ovoj osnovi u 201</w:t>
      </w:r>
      <w:r w:rsidR="00B126B8">
        <w:t>9</w:t>
      </w:r>
      <w:r w:rsidRPr="00A12B5C">
        <w:t>. godini. Obrazloženje utroška tekućih pričuva Proračuna detaljno je dano u Izvješću o utrošku tekućih pričuva Proračuna Županije Posavske za 201</w:t>
      </w:r>
      <w:r w:rsidR="00B126B8">
        <w:t>9</w:t>
      </w:r>
      <w:r w:rsidRPr="00A12B5C">
        <w:t>. godinu.</w:t>
      </w:r>
    </w:p>
    <w:p w:rsidR="00AD16F2" w:rsidRPr="00A12B5C" w:rsidRDefault="00AD16F2" w:rsidP="00AD16F2">
      <w:pPr>
        <w:pStyle w:val="Uvuenotijeloteksta"/>
        <w:spacing w:line="240" w:lineRule="auto"/>
      </w:pPr>
    </w:p>
    <w:p w:rsidR="00AD16F2" w:rsidRPr="00A12B5C" w:rsidRDefault="00AD16F2" w:rsidP="00AD16F2">
      <w:pPr>
        <w:pStyle w:val="Uvuenotijeloteksta"/>
        <w:spacing w:line="240" w:lineRule="auto"/>
        <w:ind w:firstLine="0"/>
      </w:pPr>
      <w:r w:rsidRPr="00A12B5C">
        <w:rPr>
          <w:b/>
        </w:rPr>
        <w:t>Izdaci po osnovi plaća i naknada troškova zaposlenih</w:t>
      </w:r>
      <w:r w:rsidRPr="00A12B5C">
        <w:t xml:space="preserve"> </w:t>
      </w:r>
      <w:r w:rsidRPr="00A12B5C">
        <w:rPr>
          <w:b/>
        </w:rPr>
        <w:t>(potkategorija 611000)</w:t>
      </w:r>
      <w:r w:rsidRPr="00A12B5C">
        <w:t xml:space="preserve"> ostvareni su u iznosu od </w:t>
      </w:r>
      <w:r w:rsidR="00B126B8">
        <w:t>21.036.637</w:t>
      </w:r>
      <w:r w:rsidRPr="00A12B5C">
        <w:t xml:space="preserve"> KM, odnosno </w:t>
      </w:r>
      <w:r w:rsidR="00B126B8">
        <w:t>99,44</w:t>
      </w:r>
      <w:r w:rsidRPr="00A12B5C">
        <w:t xml:space="preserve">%, dok su izdaci po osnovi doprinosa poslodavca i ostalih doprinosa (potkategorija 612000) ostvareni u iznosu od </w:t>
      </w:r>
      <w:r w:rsidR="00B126B8">
        <w:t>2.072.105</w:t>
      </w:r>
      <w:r w:rsidRPr="00A12B5C">
        <w:t xml:space="preserve"> KM, odnosno </w:t>
      </w:r>
      <w:r w:rsidR="00B126B8">
        <w:t>99,17</w:t>
      </w:r>
      <w:r w:rsidRPr="00A12B5C">
        <w:t xml:space="preserve">% u odnosu na planirane. Na teret bruto plaća i naknada plaća isplaćeno je ukupno </w:t>
      </w:r>
      <w:r w:rsidR="00B126B8">
        <w:t>17.330.794</w:t>
      </w:r>
      <w:r w:rsidRPr="00A12B5C">
        <w:t xml:space="preserve"> KM, odnosno:</w:t>
      </w:r>
    </w:p>
    <w:p w:rsidR="00AD16F2" w:rsidRPr="00FB0705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B0705">
        <w:t xml:space="preserve">plaće po umanjenju doprinosa iz redovnog rada u iznosu </w:t>
      </w:r>
      <w:r w:rsidR="00D20C86" w:rsidRPr="00FB0705">
        <w:t>od 9.345.7</w:t>
      </w:r>
      <w:r w:rsidR="00FB0705" w:rsidRPr="00FB0705">
        <w:t>90</w:t>
      </w:r>
      <w:r w:rsidRPr="00FB0705">
        <w:t xml:space="preserve"> KM,</w:t>
      </w:r>
    </w:p>
    <w:p w:rsidR="00AD16F2" w:rsidRPr="00FB0705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B0705">
        <w:t>naknade plaća u iznosu od KM</w:t>
      </w:r>
      <w:r w:rsidR="00FB0705" w:rsidRPr="00FB0705">
        <w:t xml:space="preserve"> 2.517.282 KM</w:t>
      </w:r>
      <w:r w:rsidRPr="00FB0705">
        <w:t>,</w:t>
      </w:r>
    </w:p>
    <w:p w:rsidR="00AD16F2" w:rsidRPr="00FB0705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B0705">
        <w:t xml:space="preserve">doprinosi za MIO (na teret zaposlenih) u iznosu </w:t>
      </w:r>
      <w:r w:rsidR="00D20C86" w:rsidRPr="00FB0705">
        <w:t>od 2.96</w:t>
      </w:r>
      <w:r w:rsidR="00FB0705" w:rsidRPr="00FB0705">
        <w:t>2</w:t>
      </w:r>
      <w:r w:rsidR="00D20C86" w:rsidRPr="00FB0705">
        <w:t>.</w:t>
      </w:r>
      <w:r w:rsidR="00FB0705" w:rsidRPr="00FB0705">
        <w:t>648</w:t>
      </w:r>
      <w:r w:rsidRPr="00FB0705">
        <w:t xml:space="preserve"> KM,</w:t>
      </w:r>
    </w:p>
    <w:p w:rsidR="00AD16F2" w:rsidRPr="00FB0705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B0705">
        <w:t xml:space="preserve">doprinosi za zdravstveno osiguranje (na teret zaposlenih) u iznosu od </w:t>
      </w:r>
      <w:r w:rsidR="00D20C86" w:rsidRPr="00FB0705">
        <w:t>2.236.67</w:t>
      </w:r>
      <w:r w:rsidR="00FB0705" w:rsidRPr="00FB0705">
        <w:t>3</w:t>
      </w:r>
      <w:r w:rsidRPr="00FB0705">
        <w:t xml:space="preserve"> KM i</w:t>
      </w:r>
    </w:p>
    <w:p w:rsidR="00AD16F2" w:rsidRPr="00FB0705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B0705">
        <w:t xml:space="preserve">doprinosi za zapošljavanje (na teret zaposlenih) u iznosu od </w:t>
      </w:r>
      <w:r w:rsidR="00D20C86" w:rsidRPr="00FB0705">
        <w:t>268.401</w:t>
      </w:r>
      <w:r w:rsidRPr="00FB0705">
        <w:t xml:space="preserve"> KM.</w:t>
      </w:r>
    </w:p>
    <w:p w:rsidR="007B0949" w:rsidRDefault="00532AB2" w:rsidP="007B0949">
      <w:pPr>
        <w:pStyle w:val="Uvuenotijeloteksta"/>
        <w:spacing w:line="240" w:lineRule="auto"/>
        <w:ind w:firstLine="0"/>
        <w:rPr>
          <w:bCs/>
        </w:rPr>
      </w:pPr>
      <w:r w:rsidRPr="00A12B5C">
        <w:lastRenderedPageBreak/>
        <w:t>U odnosu na 201</w:t>
      </w:r>
      <w:r w:rsidR="00B126B8">
        <w:t>8</w:t>
      </w:r>
      <w:r w:rsidRPr="00A12B5C">
        <w:t>. godin</w:t>
      </w:r>
      <w:r w:rsidR="00D65382" w:rsidRPr="00A12B5C">
        <w:t>u</w:t>
      </w:r>
      <w:r w:rsidRPr="00A12B5C">
        <w:t xml:space="preserve"> izdaci za bruto plaće i naknade plaća </w:t>
      </w:r>
      <w:r w:rsidR="007F2FF8" w:rsidRPr="00A12B5C">
        <w:t>veće</w:t>
      </w:r>
      <w:r w:rsidRPr="00A12B5C">
        <w:t xml:space="preserve"> su za </w:t>
      </w:r>
      <w:r w:rsidR="00B126B8">
        <w:t>4,89</w:t>
      </w:r>
      <w:r w:rsidRPr="00A12B5C">
        <w:t>%</w:t>
      </w:r>
      <w:r w:rsidR="00B126B8">
        <w:t>,</w:t>
      </w:r>
      <w:r w:rsidRPr="00A12B5C">
        <w:t xml:space="preserve"> odnosno u apsolutnom iznosu </w:t>
      </w:r>
      <w:r w:rsidR="007F2FF8" w:rsidRPr="00A12B5C">
        <w:t xml:space="preserve">veće </w:t>
      </w:r>
      <w:r w:rsidRPr="00A12B5C">
        <w:t xml:space="preserve">za </w:t>
      </w:r>
      <w:r w:rsidR="00B126B8">
        <w:t>908.041</w:t>
      </w:r>
      <w:r w:rsidRPr="00A12B5C">
        <w:t xml:space="preserve"> KM. </w:t>
      </w:r>
      <w:r w:rsidR="00B126B8">
        <w:t xml:space="preserve">Razlog većem izvršenju u odnosu na prethodnu godinu nalazi se u primjeni povećane osnovice za obračun plaća djelatnika (osim sudaca, tužitelja i stručnih suradnika u pravosuđu) za 4,31%, koja se primjenjuje od srpnja 2018. godine, što znači da u prvih šest mjeseci 2018. godine ista nije bila primjenjiva. </w:t>
      </w:r>
      <w:r w:rsidR="00B126B8" w:rsidRPr="00A12B5C">
        <w:t>Nadalje, stupanjem na snagu novih kolektivnih ugovora za djelatnost osnovnog i srednjeg obrazovanja u Županiji Posavskoj („Narodne novine Županije Posavske“, broj: 13/17) izvršeno je usklađivanje koeficijenata djelatnika iz navedenih oblasti s koeficijentima za obračun plaća državnih službenika i namještenika, pa se od 01.01.2018. godine pri obračunu plaća za sve zaposlenika Proračuna Županije Posavske (osim sudaca, tužitelja i stručnih suradnika u pravosuđu) pri</w:t>
      </w:r>
      <w:r w:rsidR="00B126B8">
        <w:t xml:space="preserve">mjenjuje identična osnovica. Također, </w:t>
      </w:r>
      <w:r w:rsidR="001D5487">
        <w:t xml:space="preserve">koncem rujna 2019. godine potpisan je </w:t>
      </w:r>
      <w:r w:rsidR="001D5487" w:rsidRPr="001D5487">
        <w:t xml:space="preserve">novi Kolektivni ugovor </w:t>
      </w:r>
      <w:r w:rsidR="001D5487" w:rsidRPr="001D5487">
        <w:rPr>
          <w:bCs/>
        </w:rPr>
        <w:t>za policijske slu</w:t>
      </w:r>
      <w:r w:rsidR="001D5487">
        <w:rPr>
          <w:bCs/>
        </w:rPr>
        <w:t>ž</w:t>
      </w:r>
      <w:r w:rsidR="001D5487" w:rsidRPr="001D5487">
        <w:rPr>
          <w:bCs/>
        </w:rPr>
        <w:t xml:space="preserve">benike u Ministarstvu unutarnjih poslova </w:t>
      </w:r>
      <w:r w:rsidR="001D5487">
        <w:rPr>
          <w:bCs/>
        </w:rPr>
        <w:t>Ž</w:t>
      </w:r>
      <w:r w:rsidR="001D5487" w:rsidRPr="001D5487">
        <w:rPr>
          <w:bCs/>
        </w:rPr>
        <w:t>upanije Posavske</w:t>
      </w:r>
      <w:r w:rsidR="001D5487">
        <w:rPr>
          <w:bCs/>
        </w:rPr>
        <w:t xml:space="preserve"> („Narodne novine Županije Posavske“, prema kojemu se od 01.10.2019. godine pa do donošenja zakona o plaćama policijskih službenika za obračun plaća primjenjuju platni razredi i koeficijenti iz Uredbe o plaćama, dodacima i naknadama policijskih službenika Županije Posavske  uvećani za 0,5 za svaki platni razred (</w:t>
      </w:r>
      <w:r w:rsidR="001D5487">
        <w:t>(članak 33.(5)).</w:t>
      </w:r>
    </w:p>
    <w:p w:rsidR="001D5487" w:rsidRPr="00D17290" w:rsidRDefault="001D5487" w:rsidP="001D5487">
      <w:pPr>
        <w:pStyle w:val="Default"/>
        <w:rPr>
          <w:sz w:val="16"/>
          <w:szCs w:val="16"/>
        </w:rPr>
      </w:pPr>
    </w:p>
    <w:p w:rsidR="004C516F" w:rsidRPr="00A12B5C" w:rsidRDefault="00AD16F2" w:rsidP="004C516F">
      <w:pPr>
        <w:pStyle w:val="Uvuenotijeloteksta"/>
        <w:spacing w:line="240" w:lineRule="auto"/>
        <w:ind w:firstLine="0"/>
      </w:pPr>
      <w:r w:rsidRPr="00A12B5C">
        <w:t xml:space="preserve">Naknade troškova zaposlenih u izvještajnom razdoblju ukupno iznose </w:t>
      </w:r>
      <w:r w:rsidR="007B0949" w:rsidRPr="00A12B5C">
        <w:t>3.</w:t>
      </w:r>
      <w:r w:rsidR="004E6AF8">
        <w:t>70</w:t>
      </w:r>
      <w:r w:rsidR="007B0949" w:rsidRPr="00A12B5C">
        <w:t>5.</w:t>
      </w:r>
      <w:r w:rsidR="004E6AF8">
        <w:t>843</w:t>
      </w:r>
      <w:r w:rsidRPr="00A12B5C">
        <w:t xml:space="preserve"> KM, odnosno </w:t>
      </w:r>
      <w:r w:rsidR="004E6AF8">
        <w:t>98,61</w:t>
      </w:r>
      <w:r w:rsidRPr="00A12B5C">
        <w:t xml:space="preserve">% Proračunom predviđenih </w:t>
      </w:r>
      <w:r w:rsidR="009C5A98" w:rsidRPr="00A12B5C">
        <w:t>rashoda</w:t>
      </w:r>
      <w:r w:rsidRPr="00A12B5C">
        <w:t xml:space="preserve"> za ove namjene. U odnosu na izvršenje u fiskaln</w:t>
      </w:r>
      <w:r w:rsidR="00D65382" w:rsidRPr="00A12B5C">
        <w:t>oj</w:t>
      </w:r>
      <w:r w:rsidRPr="00A12B5C">
        <w:t xml:space="preserve"> 201</w:t>
      </w:r>
      <w:r w:rsidR="004E6AF8">
        <w:t>8</w:t>
      </w:r>
      <w:r w:rsidRPr="00A12B5C">
        <w:t>. godin</w:t>
      </w:r>
      <w:r w:rsidR="00D65382" w:rsidRPr="00A12B5C">
        <w:t>i</w:t>
      </w:r>
      <w:r w:rsidRPr="00A12B5C">
        <w:t xml:space="preserve"> naknade troškova zaposlenih su </w:t>
      </w:r>
      <w:r w:rsidR="004E6AF8">
        <w:t>veće</w:t>
      </w:r>
      <w:r w:rsidRPr="00A12B5C">
        <w:t xml:space="preserve"> </w:t>
      </w:r>
      <w:r w:rsidR="004E6AF8">
        <w:t>2,77</w:t>
      </w:r>
      <w:r w:rsidRPr="00A12B5C">
        <w:t>%</w:t>
      </w:r>
      <w:r w:rsidR="007B0949" w:rsidRPr="00A12B5C">
        <w:t>,</w:t>
      </w:r>
      <w:r w:rsidRPr="00A12B5C">
        <w:t xml:space="preserve"> odnosno </w:t>
      </w:r>
      <w:r w:rsidR="004E6AF8">
        <w:t>veće</w:t>
      </w:r>
      <w:r w:rsidRPr="00A12B5C">
        <w:t xml:space="preserve"> za </w:t>
      </w:r>
      <w:r w:rsidR="004E6AF8">
        <w:t>99.973</w:t>
      </w:r>
      <w:r w:rsidRPr="00A12B5C">
        <w:t xml:space="preserve"> KM. </w:t>
      </w:r>
      <w:r w:rsidR="00A54DF8" w:rsidRPr="00A12B5C">
        <w:t xml:space="preserve"> </w:t>
      </w:r>
      <w:r w:rsidR="007B0949" w:rsidRPr="00A12B5C">
        <w:t>Pri tom su naknade troškova stalno zaposlenih djelatnika proračunskih korisnika u 201</w:t>
      </w:r>
      <w:r w:rsidR="004E6AF8">
        <w:t>9</w:t>
      </w:r>
      <w:r w:rsidR="007B0949" w:rsidRPr="00A12B5C">
        <w:t xml:space="preserve">. godini povećane za </w:t>
      </w:r>
      <w:r w:rsidR="004E6AF8">
        <w:t>140.316</w:t>
      </w:r>
      <w:r w:rsidR="007B0949" w:rsidRPr="00A12B5C">
        <w:t xml:space="preserve"> KM</w:t>
      </w:r>
      <w:r w:rsidR="004E6AF8">
        <w:t>,</w:t>
      </w:r>
      <w:r w:rsidR="007B0949" w:rsidRPr="00A12B5C">
        <w:t xml:space="preserve"> ili za </w:t>
      </w:r>
      <w:r w:rsidR="004E6AF8">
        <w:t>4,01</w:t>
      </w:r>
      <w:r w:rsidR="007B0949" w:rsidRPr="00A12B5C">
        <w:t>% u odnosu na 201</w:t>
      </w:r>
      <w:r w:rsidR="004E6AF8">
        <w:t>8</w:t>
      </w:r>
      <w:r w:rsidR="007B0949" w:rsidRPr="00A12B5C">
        <w:t xml:space="preserve">. godinu, a naknade troškova angažiranih volontera smanjene za </w:t>
      </w:r>
      <w:r w:rsidR="004E6AF8">
        <w:t>40.343</w:t>
      </w:r>
      <w:r w:rsidR="007B0949" w:rsidRPr="00A12B5C">
        <w:t xml:space="preserve"> KM</w:t>
      </w:r>
      <w:r w:rsidR="004E6AF8">
        <w:t>,</w:t>
      </w:r>
      <w:r w:rsidR="007B0949" w:rsidRPr="00A12B5C">
        <w:t xml:space="preserve"> ili za </w:t>
      </w:r>
      <w:r w:rsidR="004E6AF8">
        <w:t>39,28</w:t>
      </w:r>
      <w:r w:rsidR="007B0949" w:rsidRPr="00A12B5C">
        <w:t xml:space="preserve">%. </w:t>
      </w:r>
      <w:r w:rsidR="004E6AF8">
        <w:t>Početkom srpnja 2019. godine završio je volonterski rad volontera angažiranih u srpnju 2018. godine, izuzev 2 volontera u pravosudnim institucijama čiji ugovor traje dvije godine. U razdoblju kolovoz-prosinac 2019. godine nisu primani novi volonteri. N</w:t>
      </w:r>
      <w:r w:rsidR="00F23FC4" w:rsidRPr="00A12B5C">
        <w:t>eto izdatak za volonterski rad po osnovi ugovora o volonterskom radu po osobi iznosi 250,00 KM, topli obrok i putni troškovi se obračunavaju na način i u iznosima identičnim obračunu istih za stalno zaposlene djelatnike Proračuna.</w:t>
      </w:r>
    </w:p>
    <w:p w:rsidR="00A54DF8" w:rsidRPr="00D17290" w:rsidRDefault="00A54DF8" w:rsidP="00A54DF8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Pr="00A12B5C" w:rsidRDefault="00AD16F2" w:rsidP="00AD16F2">
      <w:pPr>
        <w:pStyle w:val="Uvuenotijeloteksta"/>
        <w:spacing w:line="240" w:lineRule="auto"/>
        <w:ind w:firstLine="0"/>
      </w:pPr>
      <w:r w:rsidRPr="00A12B5C">
        <w:t xml:space="preserve">Na teret </w:t>
      </w:r>
      <w:r w:rsidRPr="00A12B5C">
        <w:rPr>
          <w:b/>
        </w:rPr>
        <w:t>doprinosa poslodavca i ostalih doprinosa</w:t>
      </w:r>
      <w:r w:rsidR="00E5639E" w:rsidRPr="00A12B5C">
        <w:t xml:space="preserve"> </w:t>
      </w:r>
      <w:r w:rsidR="00E5639E" w:rsidRPr="00A12B5C">
        <w:rPr>
          <w:b/>
        </w:rPr>
        <w:t>(potkategorija 612000)</w:t>
      </w:r>
      <w:r w:rsidRPr="00A12B5C">
        <w:t xml:space="preserve"> u </w:t>
      </w:r>
      <w:r w:rsidR="00BC51F6" w:rsidRPr="00A12B5C">
        <w:t>201</w:t>
      </w:r>
      <w:r w:rsidR="00FB0705">
        <w:t>9</w:t>
      </w:r>
      <w:r w:rsidR="00BC51F6" w:rsidRPr="00A12B5C">
        <w:t>. godini</w:t>
      </w:r>
      <w:r w:rsidRPr="00A12B5C">
        <w:t xml:space="preserve"> isplaćeno je </w:t>
      </w:r>
      <w:r w:rsidR="00FB0705">
        <w:t>2.072.125</w:t>
      </w:r>
      <w:r w:rsidRPr="00A12B5C">
        <w:t xml:space="preserve"> KM, kako slijedi:</w:t>
      </w:r>
    </w:p>
    <w:p w:rsidR="00AD16F2" w:rsidRPr="00A12B5C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A12B5C">
        <w:t xml:space="preserve">doprinosi za MIO u iznosu od </w:t>
      </w:r>
      <w:r w:rsidR="00F23FC4" w:rsidRPr="00A12B5C">
        <w:t>1.</w:t>
      </w:r>
      <w:r w:rsidR="00FB0705">
        <w:t>073</w:t>
      </w:r>
      <w:r w:rsidR="00F23FC4" w:rsidRPr="00A12B5C">
        <w:t>.</w:t>
      </w:r>
      <w:r w:rsidR="00FB0705">
        <w:t>603</w:t>
      </w:r>
      <w:r w:rsidRPr="00A12B5C">
        <w:t xml:space="preserve"> KM,</w:t>
      </w:r>
    </w:p>
    <w:p w:rsidR="00AD16F2" w:rsidRPr="00A12B5C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A12B5C">
        <w:t xml:space="preserve">doprinosi za zdravstveno osiguranje u iznosu od </w:t>
      </w:r>
      <w:r w:rsidR="00FB0705">
        <w:t>715</w:t>
      </w:r>
      <w:r w:rsidR="00F23FC4" w:rsidRPr="00A12B5C">
        <w:t>.</w:t>
      </w:r>
      <w:r w:rsidR="00FB0705">
        <w:t>736</w:t>
      </w:r>
      <w:r w:rsidRPr="00A12B5C">
        <w:t xml:space="preserve"> KM,</w:t>
      </w:r>
    </w:p>
    <w:p w:rsidR="00AD16F2" w:rsidRPr="00A12B5C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A12B5C">
        <w:t xml:space="preserve">doprinosi za zapošljavanje u iznosu od </w:t>
      </w:r>
      <w:r w:rsidR="00FB0705">
        <w:t>89</w:t>
      </w:r>
      <w:r w:rsidR="00F23FC4" w:rsidRPr="00A12B5C">
        <w:t>.</w:t>
      </w:r>
      <w:r w:rsidR="00FB0705">
        <w:t>467</w:t>
      </w:r>
      <w:r w:rsidRPr="00A12B5C">
        <w:t xml:space="preserve"> KM i</w:t>
      </w:r>
    </w:p>
    <w:p w:rsidR="00AD16F2" w:rsidRPr="00A12B5C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A12B5C">
        <w:t xml:space="preserve">doprinosi za beneficirani radni staž u iznosu od </w:t>
      </w:r>
      <w:r w:rsidR="00FB0705">
        <w:t>193</w:t>
      </w:r>
      <w:r w:rsidR="00F23FC4" w:rsidRPr="00A12B5C">
        <w:t>.</w:t>
      </w:r>
      <w:r w:rsidR="00FB0705">
        <w:t>319</w:t>
      </w:r>
      <w:r w:rsidRPr="00A12B5C">
        <w:t xml:space="preserve"> KM.</w:t>
      </w:r>
    </w:p>
    <w:p w:rsidR="00BC51F6" w:rsidRPr="00A12B5C" w:rsidRDefault="00BC51F6" w:rsidP="00AD16F2">
      <w:pPr>
        <w:pStyle w:val="Uvuenotijeloteksta"/>
        <w:spacing w:line="240" w:lineRule="auto"/>
        <w:ind w:firstLine="0"/>
        <w:rPr>
          <w:sz w:val="10"/>
          <w:szCs w:val="10"/>
        </w:rPr>
      </w:pPr>
    </w:p>
    <w:p w:rsidR="00AD16F2" w:rsidRPr="00A12B5C" w:rsidRDefault="00995CA4" w:rsidP="00AD16F2">
      <w:pPr>
        <w:pStyle w:val="Uvuenotijeloteksta"/>
        <w:spacing w:line="240" w:lineRule="auto"/>
        <w:ind w:firstLine="0"/>
      </w:pPr>
      <w:r w:rsidRPr="00A12B5C">
        <w:t>U odnosu na 201</w:t>
      </w:r>
      <w:r w:rsidR="00FB0705">
        <w:t>8</w:t>
      </w:r>
      <w:r w:rsidRPr="00A12B5C">
        <w:t>. godin</w:t>
      </w:r>
      <w:r w:rsidR="009C5A98" w:rsidRPr="00A12B5C">
        <w:t>u</w:t>
      </w:r>
      <w:r w:rsidRPr="00A12B5C">
        <w:t xml:space="preserve"> izdaci za doprinose poslodavca i ostale doprinose </w:t>
      </w:r>
      <w:r w:rsidR="00BC51F6" w:rsidRPr="00A12B5C">
        <w:t>veći</w:t>
      </w:r>
      <w:r w:rsidRPr="00A12B5C">
        <w:t xml:space="preserve"> su za </w:t>
      </w:r>
      <w:r w:rsidR="00FB0705">
        <w:t>4,43</w:t>
      </w:r>
      <w:r w:rsidRPr="00A12B5C">
        <w:t xml:space="preserve">% odnosno u apsolutnom iznosu </w:t>
      </w:r>
      <w:r w:rsidR="009C5A98" w:rsidRPr="00A12B5C">
        <w:t xml:space="preserve">veći </w:t>
      </w:r>
      <w:r w:rsidRPr="00A12B5C">
        <w:t xml:space="preserve">za </w:t>
      </w:r>
      <w:r w:rsidR="00FB0705">
        <w:t>87.821</w:t>
      </w:r>
      <w:r w:rsidRPr="00A12B5C">
        <w:t xml:space="preserve"> KM. </w:t>
      </w:r>
      <w:r w:rsidR="00713BE8" w:rsidRPr="00A12B5C">
        <w:t>Obrazloženje povećanja izdataka za doprinose poslodavca u 201</w:t>
      </w:r>
      <w:r w:rsidR="00FB0705">
        <w:t>9</w:t>
      </w:r>
      <w:r w:rsidR="00713BE8" w:rsidRPr="00A12B5C">
        <w:t>. godini u odnosu na 201</w:t>
      </w:r>
      <w:r w:rsidR="00FB0705">
        <w:t>8</w:t>
      </w:r>
      <w:r w:rsidR="00713BE8" w:rsidRPr="00A12B5C">
        <w:t>. godinu identično je obrazloženju povećanja izdataka za bruto plaće i naknade plaća.</w:t>
      </w:r>
    </w:p>
    <w:p w:rsidR="00995CA4" w:rsidRPr="00D17290" w:rsidRDefault="00995CA4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F23FC4" w:rsidRPr="00A12B5C" w:rsidRDefault="00F23FC4" w:rsidP="00F23FC4">
      <w:pPr>
        <w:pStyle w:val="Uvuenotijeloteksta"/>
        <w:spacing w:line="240" w:lineRule="auto"/>
        <w:ind w:firstLine="0"/>
        <w:rPr>
          <w:color w:val="FF0000"/>
        </w:rPr>
      </w:pPr>
      <w:r w:rsidRPr="00A12B5C">
        <w:t>U prosincu 201</w:t>
      </w:r>
      <w:r w:rsidR="00FB0705">
        <w:t>9</w:t>
      </w:r>
      <w:r w:rsidRPr="00A12B5C">
        <w:t>. godine na platnim listama proračunskih korisnika našlo se 93</w:t>
      </w:r>
      <w:r w:rsidR="00FB0705">
        <w:t>2</w:t>
      </w:r>
      <w:r w:rsidRPr="00A12B5C">
        <w:t xml:space="preserve"> zaposlenih, </w:t>
      </w:r>
      <w:r w:rsidR="00F61DDB">
        <w:t xml:space="preserve">odnosno 920 zaposlenih po Pregledu broja izvršitelja po platnim razredima za zaposlene u 122019 (izvješće iz Ocean sustava), obzirom da određeni broj zaposlenih </w:t>
      </w:r>
      <w:r w:rsidR="00FB0705">
        <w:t>u prosvjeti postižu punu mjesečnu normu ra</w:t>
      </w:r>
      <w:r w:rsidR="00F61DDB">
        <w:t xml:space="preserve">dnih sati u više od jedne škole. U prosincu 2018. godine na platnim listama evidentirano je 938 zaposlenih, što znači da je došlo do smanjenja broja zaposlenih za </w:t>
      </w:r>
      <w:r w:rsidRPr="00A12B5C">
        <w:t xml:space="preserve"> </w:t>
      </w:r>
      <w:r w:rsidR="00FB0705">
        <w:t>6</w:t>
      </w:r>
      <w:r w:rsidRPr="00A12B5C">
        <w:t xml:space="preserve">. U osnovnim i srednjim školama je </w:t>
      </w:r>
      <w:r w:rsidR="00713BE8" w:rsidRPr="00A12B5C">
        <w:t>u prosincu 201</w:t>
      </w:r>
      <w:r w:rsidR="00FB0705">
        <w:t>9</w:t>
      </w:r>
      <w:r w:rsidR="00713BE8" w:rsidRPr="00A12B5C">
        <w:t xml:space="preserve">. godine </w:t>
      </w:r>
      <w:r w:rsidRPr="00A12B5C">
        <w:t xml:space="preserve">bilo zaposleno </w:t>
      </w:r>
      <w:r w:rsidR="00FB0705">
        <w:t>20</w:t>
      </w:r>
      <w:r w:rsidR="00713BE8" w:rsidRPr="00A12B5C">
        <w:t xml:space="preserve"> </w:t>
      </w:r>
      <w:r w:rsidRPr="00A12B5C">
        <w:t>radnika po osnovi ugovora o obavljanju privremenih i povremenih poslova u prosvjeti</w:t>
      </w:r>
      <w:r w:rsidR="00713BE8" w:rsidRPr="00A12B5C">
        <w:t>.</w:t>
      </w:r>
    </w:p>
    <w:p w:rsidR="00995CA4" w:rsidRPr="00A12B5C" w:rsidRDefault="00995CA4" w:rsidP="00AD16F2">
      <w:pPr>
        <w:pStyle w:val="Uvuenotijeloteksta"/>
        <w:spacing w:line="240" w:lineRule="auto"/>
        <w:ind w:firstLine="0"/>
        <w:rPr>
          <w:sz w:val="20"/>
          <w:szCs w:val="20"/>
        </w:rPr>
      </w:pPr>
    </w:p>
    <w:p w:rsidR="00713BE8" w:rsidRPr="00A12B5C" w:rsidRDefault="00713BE8" w:rsidP="00713BE8">
      <w:pPr>
        <w:pStyle w:val="Uvuenotijeloteksta"/>
        <w:spacing w:line="240" w:lineRule="auto"/>
        <w:ind w:firstLine="0"/>
      </w:pPr>
      <w:r w:rsidRPr="00A12B5C">
        <w:rPr>
          <w:b/>
        </w:rPr>
        <w:t>Izdaci za materijal, sitan inventar i usluge (potkategorija 613000)</w:t>
      </w:r>
      <w:r w:rsidRPr="00A12B5C">
        <w:t xml:space="preserve"> ostvareni su u iznosu od </w:t>
      </w:r>
      <w:r w:rsidR="00F61DDB">
        <w:t>3.945.194</w:t>
      </w:r>
      <w:r w:rsidRPr="00A12B5C">
        <w:t xml:space="preserve"> KM, odnosno </w:t>
      </w:r>
      <w:r w:rsidR="00F61DDB">
        <w:t>93,10</w:t>
      </w:r>
      <w:r w:rsidRPr="00A12B5C">
        <w:t xml:space="preserve">% ukupno planiranih izdataka za ove namjene. U tablici 11. i </w:t>
      </w:r>
      <w:r w:rsidRPr="00A12B5C">
        <w:lastRenderedPageBreak/>
        <w:t>na Grafu 13. prikazana je struktura izvršenih izdataka za materijal, sitan inventar i usluge u 201</w:t>
      </w:r>
      <w:r w:rsidR="00F61DDB">
        <w:t>9</w:t>
      </w:r>
      <w:r w:rsidRPr="00A12B5C">
        <w:t>. godin</w:t>
      </w:r>
      <w:r w:rsidR="00E5639E" w:rsidRPr="00A12B5C">
        <w:t>i</w:t>
      </w:r>
      <w:r w:rsidRPr="00A12B5C">
        <w:t>.</w:t>
      </w:r>
    </w:p>
    <w:p w:rsidR="002549C3" w:rsidRPr="00D17290" w:rsidRDefault="002549C3" w:rsidP="00713BE8">
      <w:pPr>
        <w:jc w:val="both"/>
        <w:rPr>
          <w:sz w:val="16"/>
          <w:szCs w:val="16"/>
        </w:rPr>
      </w:pPr>
    </w:p>
    <w:p w:rsidR="00713BE8" w:rsidRPr="00A12B5C" w:rsidRDefault="00713BE8" w:rsidP="00713BE8">
      <w:pPr>
        <w:jc w:val="both"/>
        <w:rPr>
          <w:sz w:val="20"/>
          <w:szCs w:val="20"/>
        </w:rPr>
      </w:pPr>
      <w:r w:rsidRPr="00A12B5C">
        <w:rPr>
          <w:sz w:val="20"/>
          <w:szCs w:val="20"/>
        </w:rPr>
        <w:t>Tablica 11. Struktura izvršenih izdataka za materijal, sitan inventar i usluge Proračuna ŽP u 201</w:t>
      </w:r>
      <w:r w:rsidR="00F61DDB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tbl>
      <w:tblPr>
        <w:tblStyle w:val="Srednjipopis210"/>
        <w:tblW w:w="0" w:type="auto"/>
        <w:tblLook w:val="04A0"/>
      </w:tblPr>
      <w:tblGrid>
        <w:gridCol w:w="4503"/>
        <w:gridCol w:w="3260"/>
        <w:gridCol w:w="1525"/>
      </w:tblGrid>
      <w:tr w:rsidR="00713BE8" w:rsidRPr="00A12B5C" w:rsidTr="00713BE8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713BE8" w:rsidRPr="00A12B5C" w:rsidRDefault="00713BE8" w:rsidP="00713BE8">
            <w:pPr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713BE8" w:rsidRPr="00A12B5C" w:rsidRDefault="00713BE8" w:rsidP="00713BE8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Ostvareno</w:t>
            </w:r>
          </w:p>
          <w:p w:rsidR="00713BE8" w:rsidRPr="00A12B5C" w:rsidRDefault="00713BE8" w:rsidP="00F61DDB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201</w:t>
            </w:r>
            <w:r w:rsidR="00F61DDB">
              <w:rPr>
                <w:b/>
                <w:sz w:val="22"/>
              </w:rPr>
              <w:t>9</w:t>
            </w:r>
            <w:r w:rsidRPr="00A12B5C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713BE8" w:rsidRPr="00A12B5C" w:rsidRDefault="00713BE8" w:rsidP="00713BE8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 xml:space="preserve">% </w:t>
            </w:r>
          </w:p>
          <w:p w:rsidR="00713BE8" w:rsidRPr="00A12B5C" w:rsidRDefault="00713BE8" w:rsidP="00713BE8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učešća</w:t>
            </w:r>
          </w:p>
        </w:tc>
      </w:tr>
      <w:tr w:rsidR="00713BE8" w:rsidRPr="00A12B5C" w:rsidTr="00713BE8">
        <w:trPr>
          <w:cnfStyle w:val="000000100000"/>
        </w:trPr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Putni troškovi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125.054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3,17</w:t>
            </w:r>
          </w:p>
        </w:tc>
      </w:tr>
      <w:tr w:rsidR="00713BE8" w:rsidRPr="00A12B5C" w:rsidTr="00713BE8"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Izdaci za energiju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778.621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19,74</w:t>
            </w:r>
          </w:p>
        </w:tc>
      </w:tr>
      <w:tr w:rsidR="00713BE8" w:rsidRPr="00A12B5C" w:rsidTr="00713BE8">
        <w:trPr>
          <w:cnfStyle w:val="000000100000"/>
        </w:trPr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Izdaci za komunikaciju i komunalne usluge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368.348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9,34</w:t>
            </w:r>
          </w:p>
        </w:tc>
      </w:tr>
      <w:tr w:rsidR="00713BE8" w:rsidRPr="00A12B5C" w:rsidTr="00713BE8"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Nabavka materijala i sitnog inventara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415.254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10,53</w:t>
            </w:r>
          </w:p>
        </w:tc>
      </w:tr>
      <w:tr w:rsidR="00713BE8" w:rsidRPr="00A12B5C" w:rsidTr="00713BE8">
        <w:trPr>
          <w:cnfStyle w:val="000000100000"/>
        </w:trPr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Izdaci za usluge prijevoza i goriva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214.604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5,44</w:t>
            </w:r>
          </w:p>
        </w:tc>
      </w:tr>
      <w:tr w:rsidR="00713BE8" w:rsidRPr="00A12B5C" w:rsidTr="00713BE8"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Unajmljivanje imovine, opreme i nem.imovine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36.004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0,91</w:t>
            </w:r>
          </w:p>
        </w:tc>
      </w:tr>
      <w:tr w:rsidR="00713BE8" w:rsidRPr="00A12B5C" w:rsidTr="00713BE8">
        <w:trPr>
          <w:cnfStyle w:val="000000100000"/>
        </w:trPr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Izdaci za tekuće održavanje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300.705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7,62</w:t>
            </w:r>
          </w:p>
        </w:tc>
      </w:tr>
      <w:tr w:rsidR="00713BE8" w:rsidRPr="00A12B5C" w:rsidTr="00713BE8"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Tekuće održavanje cesta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180.242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4,57</w:t>
            </w:r>
          </w:p>
        </w:tc>
      </w:tr>
      <w:tr w:rsidR="00713BE8" w:rsidRPr="00A12B5C" w:rsidTr="00713BE8">
        <w:trPr>
          <w:cnfStyle w:val="000000100000"/>
        </w:trPr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Izdaci osiguranja, bank.usluga i usluga p.p.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37.497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0,95</w:t>
            </w:r>
          </w:p>
        </w:tc>
      </w:tr>
      <w:tr w:rsidR="00713BE8" w:rsidRPr="00A12B5C" w:rsidTr="00713BE8"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Izdaci za negativne tečajne razlike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13BE8" w:rsidRPr="00A12B5C" w:rsidTr="00713BE8">
        <w:trPr>
          <w:cnfStyle w:val="000000100000"/>
        </w:trPr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Ugovorene i druge posebne usluge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1.282.375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32,50</w:t>
            </w:r>
          </w:p>
        </w:tc>
      </w:tr>
      <w:tr w:rsidR="00713BE8" w:rsidRPr="00A12B5C" w:rsidTr="00713BE8"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Agencija za državnu službu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26.216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0,66</w:t>
            </w:r>
          </w:p>
        </w:tc>
      </w:tr>
      <w:tr w:rsidR="00713BE8" w:rsidRPr="00A12B5C" w:rsidTr="00713BE8">
        <w:trPr>
          <w:cnfStyle w:val="000000100000"/>
        </w:trPr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Potpora riznici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63.461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1,61</w:t>
            </w:r>
          </w:p>
        </w:tc>
      </w:tr>
      <w:tr w:rsidR="00713BE8" w:rsidRPr="00A12B5C" w:rsidTr="00713BE8"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Vozački ispiti – vlastiti prihodi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45.932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1,16</w:t>
            </w:r>
          </w:p>
        </w:tc>
      </w:tr>
      <w:tr w:rsidR="00713BE8" w:rsidRPr="00A12B5C" w:rsidTr="00713BE8">
        <w:trPr>
          <w:cnfStyle w:val="000000100000"/>
        </w:trPr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Ugovorene i dr.posebne usluge – volonterski rad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70.881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1,80</w:t>
            </w:r>
          </w:p>
        </w:tc>
      </w:tr>
      <w:tr w:rsidR="00713BE8" w:rsidRPr="00A12B5C" w:rsidTr="00713BE8"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Ugovorene i dr.posebne usluge – Prostorni plan</w:t>
            </w:r>
          </w:p>
        </w:tc>
        <w:tc>
          <w:tcPr>
            <w:tcW w:w="3260" w:type="dxa"/>
          </w:tcPr>
          <w:p w:rsidR="00713BE8" w:rsidRPr="00A12B5C" w:rsidRDefault="00D90673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713BE8" w:rsidRPr="00A12B5C" w:rsidRDefault="00D90673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13BE8" w:rsidRPr="00A12B5C" w:rsidTr="00713BE8">
        <w:trPr>
          <w:cnfStyle w:val="000000100000"/>
        </w:trPr>
        <w:tc>
          <w:tcPr>
            <w:cnfStyle w:val="001000000000"/>
            <w:tcW w:w="4503" w:type="dxa"/>
          </w:tcPr>
          <w:p w:rsidR="00713BE8" w:rsidRPr="00A12B5C" w:rsidRDefault="00713BE8" w:rsidP="00713BE8">
            <w:pPr>
              <w:jc w:val="both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713BE8" w:rsidRPr="00A12B5C" w:rsidRDefault="00F2547B" w:rsidP="00713BE8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D90673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D90673">
              <w:rPr>
                <w:b/>
                <w:noProof/>
                <w:sz w:val="22"/>
              </w:rPr>
              <w:t>3.945.194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713BE8" w:rsidRPr="00A12B5C" w:rsidRDefault="00F2547B" w:rsidP="00713BE8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D90673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D90673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D90673">
              <w:rPr>
                <w:b/>
                <w:sz w:val="22"/>
              </w:rPr>
              <w:t>,00</w:t>
            </w:r>
          </w:p>
        </w:tc>
      </w:tr>
    </w:tbl>
    <w:p w:rsidR="00713BE8" w:rsidRPr="00A12B5C" w:rsidRDefault="00713BE8" w:rsidP="00713BE8">
      <w:pPr>
        <w:pStyle w:val="Uvuenotijeloteksta"/>
        <w:spacing w:line="240" w:lineRule="auto"/>
        <w:ind w:firstLine="0"/>
        <w:jc w:val="center"/>
      </w:pPr>
      <w:r w:rsidRPr="00A12B5C">
        <w:rPr>
          <w:noProof/>
          <w:lang w:eastAsia="hr-HR"/>
        </w:rPr>
        <w:drawing>
          <wp:inline distT="0" distB="0" distL="0" distR="0">
            <wp:extent cx="4934162" cy="2658533"/>
            <wp:effectExtent l="19050" t="0" r="0" b="0"/>
            <wp:docPr id="7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13BE8" w:rsidRPr="00A12B5C" w:rsidRDefault="00713BE8" w:rsidP="00E5639E">
      <w:pPr>
        <w:jc w:val="center"/>
        <w:rPr>
          <w:sz w:val="20"/>
          <w:szCs w:val="20"/>
        </w:rPr>
      </w:pPr>
      <w:r w:rsidRPr="00A12B5C">
        <w:rPr>
          <w:sz w:val="20"/>
          <w:szCs w:val="20"/>
        </w:rPr>
        <w:t>Graf 13. Struktura izvršenih izdataka za mater., sitan inventar i usluge u 201</w:t>
      </w:r>
      <w:r w:rsidR="00E708EF">
        <w:rPr>
          <w:sz w:val="20"/>
          <w:szCs w:val="20"/>
        </w:rPr>
        <w:t>9</w:t>
      </w:r>
      <w:r w:rsidRPr="00A12B5C">
        <w:rPr>
          <w:sz w:val="20"/>
          <w:szCs w:val="20"/>
        </w:rPr>
        <w:t>. godin</w:t>
      </w:r>
      <w:r w:rsidR="00E5639E" w:rsidRPr="00A12B5C">
        <w:rPr>
          <w:sz w:val="20"/>
          <w:szCs w:val="20"/>
        </w:rPr>
        <w:t>i</w:t>
      </w:r>
    </w:p>
    <w:p w:rsidR="00713BE8" w:rsidRPr="00A12B5C" w:rsidRDefault="00713BE8" w:rsidP="00713BE8">
      <w:pPr>
        <w:pStyle w:val="Uvuenotijeloteksta"/>
        <w:spacing w:line="240" w:lineRule="auto"/>
        <w:ind w:firstLine="0"/>
      </w:pPr>
    </w:p>
    <w:p w:rsidR="00713BE8" w:rsidRPr="00A12B5C" w:rsidRDefault="00713BE8" w:rsidP="00713BE8">
      <w:pPr>
        <w:pStyle w:val="Uvuenotijeloteksta"/>
        <w:spacing w:line="240" w:lineRule="auto"/>
        <w:ind w:firstLine="0"/>
      </w:pPr>
      <w:r w:rsidRPr="00A12B5C">
        <w:t>U odnosu na 201</w:t>
      </w:r>
      <w:r w:rsidR="00E708EF">
        <w:t>8</w:t>
      </w:r>
      <w:r w:rsidRPr="00A12B5C">
        <w:t>. godin</w:t>
      </w:r>
      <w:r w:rsidR="00E5639E" w:rsidRPr="00A12B5C">
        <w:t>u</w:t>
      </w:r>
      <w:r w:rsidRPr="00A12B5C">
        <w:t xml:space="preserve"> izdaci za materijal, sitan inventar i usluge </w:t>
      </w:r>
      <w:r w:rsidR="00E5639E" w:rsidRPr="00A12B5C">
        <w:t>manji</w:t>
      </w:r>
      <w:r w:rsidRPr="00A12B5C">
        <w:t xml:space="preserve"> su za </w:t>
      </w:r>
      <w:r w:rsidR="00E708EF">
        <w:t>7,53</w:t>
      </w:r>
      <w:r w:rsidRPr="00A12B5C">
        <w:t xml:space="preserve">%, odnosno u apsolutnom iznosu </w:t>
      </w:r>
      <w:r w:rsidR="00E5639E" w:rsidRPr="00A12B5C">
        <w:t>manji</w:t>
      </w:r>
      <w:r w:rsidRPr="00A12B5C">
        <w:t xml:space="preserve"> za </w:t>
      </w:r>
      <w:r w:rsidR="00E708EF">
        <w:t>321.277</w:t>
      </w:r>
      <w:r w:rsidRPr="00A12B5C">
        <w:t xml:space="preserve"> KM. </w:t>
      </w:r>
      <w:r w:rsidR="00E708EF">
        <w:t>Do smanjenja potrošnje na izdacima za materijal, sitan inventar i usluge u 2019. godini u odnosu na 2018. godinu došlo je na svim pozicijama materijalnih troškova, osim pozicija 613200 – Izdaci za energiju i 613800 – Izdaci osiguranja, bankarskih usluga i usluga platnog prometa na kojima je došlo do povećanja u odnosu na prethodnu godinu. U usporedbi s planom za 2019. godinu uopće nije došlo do realizacije troškova na poziciji 613900 – Ugovorene i druge posebne usluge-prostorni plan (planirano 50.000 KM), dok je značajno manje izvršenje u apsolutnom iznosu zabilježeno i na pozicijama: 613300 – Izdaci za komunikaciju i komunalne usluge, te 613900 – Ugovorene i druge posebne usluge (opće).</w:t>
      </w:r>
    </w:p>
    <w:p w:rsidR="00713BE8" w:rsidRPr="00A12B5C" w:rsidRDefault="00713BE8" w:rsidP="00713BE8">
      <w:pPr>
        <w:pStyle w:val="Uvuenotijeloteksta"/>
        <w:spacing w:line="240" w:lineRule="auto"/>
        <w:ind w:firstLine="0"/>
        <w:rPr>
          <w:highlight w:val="yellow"/>
        </w:rPr>
      </w:pPr>
    </w:p>
    <w:p w:rsidR="00713BE8" w:rsidRPr="00A12B5C" w:rsidRDefault="00713BE8" w:rsidP="00713BE8">
      <w:pPr>
        <w:pStyle w:val="Uvuenotijeloteksta"/>
        <w:spacing w:line="240" w:lineRule="auto"/>
        <w:ind w:firstLine="0"/>
      </w:pPr>
      <w:r w:rsidRPr="00A12B5C">
        <w:rPr>
          <w:b/>
        </w:rPr>
        <w:lastRenderedPageBreak/>
        <w:t>Izdaci za tekuće grantove (potkategorija 614000)</w:t>
      </w:r>
      <w:r w:rsidRPr="00A12B5C">
        <w:t xml:space="preserve"> ostvareni su u apsolutnom iznosu od </w:t>
      </w:r>
      <w:r w:rsidR="007102F7" w:rsidRPr="00A12B5C">
        <w:t>11.</w:t>
      </w:r>
      <w:r w:rsidR="00E708EF">
        <w:t>254</w:t>
      </w:r>
      <w:r w:rsidR="007102F7" w:rsidRPr="00A12B5C">
        <w:t>.</w:t>
      </w:r>
      <w:r w:rsidR="00E708EF">
        <w:t>222</w:t>
      </w:r>
      <w:r w:rsidRPr="00A12B5C">
        <w:t xml:space="preserve"> KM, odnosno </w:t>
      </w:r>
      <w:r w:rsidR="00E708EF">
        <w:t>99,69</w:t>
      </w:r>
      <w:r w:rsidRPr="00A12B5C">
        <w:t xml:space="preserve">% u odnosu na planirane rashode po ovoj namjeni. U tablici 12. i na Grafu 14. prikazana je struktura izvršenih tekućih </w:t>
      </w:r>
      <w:proofErr w:type="spellStart"/>
      <w:r w:rsidRPr="00A12B5C">
        <w:t>grantova</w:t>
      </w:r>
      <w:proofErr w:type="spellEnd"/>
      <w:r w:rsidRPr="00A12B5C">
        <w:t xml:space="preserve"> u 201</w:t>
      </w:r>
      <w:r w:rsidR="00E708EF">
        <w:t>9</w:t>
      </w:r>
      <w:r w:rsidRPr="00A12B5C">
        <w:t>. godin</w:t>
      </w:r>
      <w:r w:rsidR="007102F7" w:rsidRPr="00A12B5C">
        <w:t>i</w:t>
      </w:r>
      <w:r w:rsidRPr="00A12B5C">
        <w:t>.</w:t>
      </w:r>
    </w:p>
    <w:p w:rsidR="00713BE8" w:rsidRPr="00A12B5C" w:rsidRDefault="00713BE8" w:rsidP="00713BE8">
      <w:pPr>
        <w:pStyle w:val="Uvuenotijeloteksta"/>
        <w:spacing w:line="240" w:lineRule="auto"/>
        <w:ind w:firstLine="0"/>
      </w:pPr>
    </w:p>
    <w:p w:rsidR="00713BE8" w:rsidRPr="00A12B5C" w:rsidRDefault="00713BE8" w:rsidP="00713BE8">
      <w:pPr>
        <w:jc w:val="both"/>
        <w:rPr>
          <w:sz w:val="20"/>
          <w:szCs w:val="20"/>
        </w:rPr>
      </w:pPr>
      <w:r w:rsidRPr="00A12B5C">
        <w:rPr>
          <w:sz w:val="20"/>
          <w:szCs w:val="20"/>
        </w:rPr>
        <w:t xml:space="preserve">Tablica 12. Struktura izvršenih tekućih </w:t>
      </w:r>
      <w:proofErr w:type="spellStart"/>
      <w:r w:rsidRPr="00A12B5C">
        <w:rPr>
          <w:sz w:val="20"/>
          <w:szCs w:val="20"/>
        </w:rPr>
        <w:t>grantova</w:t>
      </w:r>
      <w:proofErr w:type="spellEnd"/>
      <w:r w:rsidRPr="00A12B5C">
        <w:rPr>
          <w:sz w:val="20"/>
          <w:szCs w:val="20"/>
        </w:rPr>
        <w:t xml:space="preserve"> Proračuna </w:t>
      </w:r>
      <w:proofErr w:type="spellStart"/>
      <w:r w:rsidRPr="00A12B5C">
        <w:rPr>
          <w:sz w:val="20"/>
          <w:szCs w:val="20"/>
        </w:rPr>
        <w:t>Žup.Posavske</w:t>
      </w:r>
      <w:proofErr w:type="spellEnd"/>
      <w:r w:rsidRPr="00A12B5C">
        <w:rPr>
          <w:sz w:val="20"/>
          <w:szCs w:val="20"/>
        </w:rPr>
        <w:t xml:space="preserve"> u 201</w:t>
      </w:r>
      <w:r w:rsidR="00E708EF">
        <w:rPr>
          <w:sz w:val="20"/>
          <w:szCs w:val="20"/>
        </w:rPr>
        <w:t>9</w:t>
      </w:r>
      <w:r w:rsidRPr="00A12B5C">
        <w:rPr>
          <w:sz w:val="20"/>
          <w:szCs w:val="20"/>
        </w:rPr>
        <w:t>. g.</w:t>
      </w:r>
    </w:p>
    <w:tbl>
      <w:tblPr>
        <w:tblStyle w:val="Srednjipopis210"/>
        <w:tblW w:w="0" w:type="auto"/>
        <w:tblLook w:val="04A0"/>
      </w:tblPr>
      <w:tblGrid>
        <w:gridCol w:w="5211"/>
        <w:gridCol w:w="2552"/>
        <w:gridCol w:w="1525"/>
      </w:tblGrid>
      <w:tr w:rsidR="00713BE8" w:rsidRPr="00A12B5C" w:rsidTr="00A83C52">
        <w:trPr>
          <w:cnfStyle w:val="100000000000"/>
        </w:trPr>
        <w:tc>
          <w:tcPr>
            <w:cnfStyle w:val="001000000100"/>
            <w:tcW w:w="5211" w:type="dxa"/>
            <w:vAlign w:val="center"/>
          </w:tcPr>
          <w:p w:rsidR="00713BE8" w:rsidRPr="00A12B5C" w:rsidRDefault="00713BE8" w:rsidP="00713BE8">
            <w:pPr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OPIS</w:t>
            </w:r>
          </w:p>
        </w:tc>
        <w:tc>
          <w:tcPr>
            <w:tcW w:w="2552" w:type="dxa"/>
          </w:tcPr>
          <w:p w:rsidR="00713BE8" w:rsidRPr="00A12B5C" w:rsidRDefault="00713BE8" w:rsidP="00713BE8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Ostvareno</w:t>
            </w:r>
          </w:p>
          <w:p w:rsidR="00713BE8" w:rsidRPr="00A12B5C" w:rsidRDefault="00713BE8" w:rsidP="00E708EF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201</w:t>
            </w:r>
            <w:r w:rsidR="00E708EF">
              <w:rPr>
                <w:b/>
                <w:sz w:val="22"/>
              </w:rPr>
              <w:t>9</w:t>
            </w:r>
            <w:r w:rsidRPr="00A12B5C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713BE8" w:rsidRPr="00A12B5C" w:rsidRDefault="00713BE8" w:rsidP="00713BE8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 xml:space="preserve">% </w:t>
            </w:r>
          </w:p>
          <w:p w:rsidR="00713BE8" w:rsidRPr="00A12B5C" w:rsidRDefault="00713BE8" w:rsidP="00713BE8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učešća</w:t>
            </w:r>
          </w:p>
        </w:tc>
      </w:tr>
      <w:tr w:rsidR="007102F7" w:rsidRPr="00A12B5C" w:rsidTr="00A83C52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7102F7" w:rsidRPr="00A12B5C" w:rsidRDefault="007102F7" w:rsidP="007102F7">
            <w:pPr>
              <w:rPr>
                <w:rFonts w:eastAsia="Times New Roman"/>
                <w:b/>
                <w:i/>
                <w:color w:val="000000"/>
                <w:sz w:val="22"/>
              </w:rPr>
            </w:pPr>
            <w:r w:rsidRPr="00A12B5C">
              <w:rPr>
                <w:rFonts w:eastAsia="Times New Roman"/>
                <w:b/>
                <w:i/>
                <w:color w:val="000000"/>
                <w:sz w:val="22"/>
              </w:rPr>
              <w:t>Tekući grantovi dr.razinama vlasti i fondovima</w:t>
            </w:r>
          </w:p>
        </w:tc>
        <w:tc>
          <w:tcPr>
            <w:tcW w:w="2552" w:type="dxa"/>
            <w:vAlign w:val="center"/>
          </w:tcPr>
          <w:p w:rsidR="007102F7" w:rsidRPr="00A12B5C" w:rsidRDefault="00E708EF" w:rsidP="00E708EF">
            <w:pPr>
              <w:ind w:right="743"/>
              <w:jc w:val="right"/>
              <w:cnfStyle w:val="0000001000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(2.627.507)</w:t>
            </w:r>
          </w:p>
        </w:tc>
        <w:tc>
          <w:tcPr>
            <w:tcW w:w="1525" w:type="dxa"/>
            <w:vAlign w:val="center"/>
          </w:tcPr>
          <w:p w:rsidR="007102F7" w:rsidRPr="00A12B5C" w:rsidRDefault="00D27D98" w:rsidP="00713BE8">
            <w:pPr>
              <w:ind w:right="283"/>
              <w:jc w:val="right"/>
              <w:cnfStyle w:val="0000001000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(23,35)</w:t>
            </w:r>
          </w:p>
        </w:tc>
      </w:tr>
      <w:tr w:rsidR="00713BE8" w:rsidRPr="00A12B5C" w:rsidTr="00A83C52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713BE8" w:rsidRPr="00A12B5C" w:rsidRDefault="00A83C52" w:rsidP="00713BE8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r w:rsidR="00713BE8" w:rsidRPr="00A12B5C">
              <w:rPr>
                <w:rFonts w:eastAsia="Times New Roman"/>
                <w:color w:val="000000"/>
                <w:sz w:val="22"/>
              </w:rPr>
              <w:t>Grant za sanaciju šteta uzrokovanih poplavom</w:t>
            </w:r>
          </w:p>
        </w:tc>
        <w:tc>
          <w:tcPr>
            <w:tcW w:w="2552" w:type="dxa"/>
            <w:vAlign w:val="center"/>
          </w:tcPr>
          <w:p w:rsidR="00713BE8" w:rsidRPr="00A12B5C" w:rsidRDefault="00E708EF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713BE8" w:rsidRPr="00A12B5C" w:rsidRDefault="00D27D98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13BE8" w:rsidRPr="00A12B5C" w:rsidTr="00A83C52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713BE8" w:rsidRPr="00A12B5C" w:rsidRDefault="00A83C52" w:rsidP="00713BE8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r w:rsidR="00713BE8" w:rsidRPr="00A12B5C">
              <w:rPr>
                <w:rFonts w:eastAsia="Times New Roman"/>
                <w:color w:val="000000"/>
                <w:sz w:val="22"/>
              </w:rPr>
              <w:t>Grant za Sveučilište u Mostaru</w:t>
            </w:r>
          </w:p>
        </w:tc>
        <w:tc>
          <w:tcPr>
            <w:tcW w:w="2552" w:type="dxa"/>
            <w:vAlign w:val="center"/>
          </w:tcPr>
          <w:p w:rsidR="00713BE8" w:rsidRPr="00A12B5C" w:rsidRDefault="00E708EF" w:rsidP="00713BE8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200.000</w:t>
            </w:r>
          </w:p>
        </w:tc>
        <w:tc>
          <w:tcPr>
            <w:tcW w:w="1525" w:type="dxa"/>
            <w:vAlign w:val="center"/>
          </w:tcPr>
          <w:p w:rsidR="00713BE8" w:rsidRPr="00A12B5C" w:rsidRDefault="00D27D98" w:rsidP="00713BE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1,78</w:t>
            </w:r>
          </w:p>
        </w:tc>
      </w:tr>
      <w:tr w:rsidR="00713BE8" w:rsidRPr="00A12B5C" w:rsidTr="00A83C52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713BE8" w:rsidRPr="00A12B5C" w:rsidRDefault="00A83C52" w:rsidP="00713BE8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r w:rsidR="00713BE8" w:rsidRPr="00A12B5C">
              <w:rPr>
                <w:rFonts w:eastAsia="Times New Roman"/>
                <w:color w:val="000000"/>
                <w:sz w:val="22"/>
              </w:rPr>
              <w:t>Grantovi nižim razinama vlasti</w:t>
            </w:r>
          </w:p>
        </w:tc>
        <w:tc>
          <w:tcPr>
            <w:tcW w:w="2552" w:type="dxa"/>
            <w:vAlign w:val="center"/>
          </w:tcPr>
          <w:p w:rsidR="00713BE8" w:rsidRPr="00A12B5C" w:rsidRDefault="00E708EF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230.000</w:t>
            </w:r>
          </w:p>
        </w:tc>
        <w:tc>
          <w:tcPr>
            <w:tcW w:w="1525" w:type="dxa"/>
            <w:vAlign w:val="center"/>
          </w:tcPr>
          <w:p w:rsidR="00713BE8" w:rsidRPr="00A12B5C" w:rsidRDefault="00D27D98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2,04</w:t>
            </w:r>
          </w:p>
        </w:tc>
      </w:tr>
      <w:tr w:rsidR="00713BE8" w:rsidRPr="00A12B5C" w:rsidTr="00A83C52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713BE8" w:rsidRPr="00A12B5C" w:rsidRDefault="00A83C52" w:rsidP="00713BE8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r w:rsidR="00713BE8" w:rsidRPr="00A12B5C">
              <w:rPr>
                <w:rFonts w:eastAsia="Times New Roman"/>
                <w:color w:val="000000"/>
                <w:sz w:val="22"/>
              </w:rPr>
              <w:t>Transfer za zdrav.institucije i centre za soc.rad</w:t>
            </w:r>
          </w:p>
        </w:tc>
        <w:tc>
          <w:tcPr>
            <w:tcW w:w="2552" w:type="dxa"/>
            <w:vAlign w:val="center"/>
          </w:tcPr>
          <w:p w:rsidR="00713BE8" w:rsidRPr="00A12B5C" w:rsidRDefault="00E708EF" w:rsidP="00713BE8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1.044.000</w:t>
            </w:r>
          </w:p>
        </w:tc>
        <w:tc>
          <w:tcPr>
            <w:tcW w:w="1525" w:type="dxa"/>
            <w:vAlign w:val="center"/>
          </w:tcPr>
          <w:p w:rsidR="00713BE8" w:rsidRPr="00A12B5C" w:rsidRDefault="00D27D98" w:rsidP="00713BE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9,28</w:t>
            </w:r>
          </w:p>
        </w:tc>
      </w:tr>
      <w:tr w:rsidR="00713BE8" w:rsidRPr="00A12B5C" w:rsidTr="00A83C52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713BE8" w:rsidRPr="00A12B5C" w:rsidRDefault="00A83C52" w:rsidP="00713BE8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r w:rsidR="00713BE8" w:rsidRPr="00A12B5C">
              <w:rPr>
                <w:rFonts w:eastAsia="Times New Roman"/>
                <w:color w:val="000000"/>
                <w:sz w:val="22"/>
              </w:rPr>
              <w:t>Grant za zaštitu okoliša</w:t>
            </w:r>
          </w:p>
        </w:tc>
        <w:tc>
          <w:tcPr>
            <w:tcW w:w="2552" w:type="dxa"/>
            <w:vAlign w:val="center"/>
          </w:tcPr>
          <w:p w:rsidR="00713BE8" w:rsidRPr="00A12B5C" w:rsidRDefault="00E708EF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180.000</w:t>
            </w:r>
          </w:p>
        </w:tc>
        <w:tc>
          <w:tcPr>
            <w:tcW w:w="1525" w:type="dxa"/>
            <w:vAlign w:val="center"/>
          </w:tcPr>
          <w:p w:rsidR="00713BE8" w:rsidRPr="00A12B5C" w:rsidRDefault="00D27D98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1,60</w:t>
            </w:r>
          </w:p>
        </w:tc>
      </w:tr>
      <w:tr w:rsidR="00713BE8" w:rsidRPr="00A12B5C" w:rsidTr="00A83C52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713BE8" w:rsidRPr="00A12B5C" w:rsidRDefault="00A83C52" w:rsidP="00713BE8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r w:rsidR="00713BE8" w:rsidRPr="00A12B5C">
              <w:rPr>
                <w:rFonts w:eastAsia="Times New Roman"/>
                <w:color w:val="000000"/>
                <w:sz w:val="22"/>
              </w:rPr>
              <w:t>Grant za razvoj turizma</w:t>
            </w:r>
          </w:p>
        </w:tc>
        <w:tc>
          <w:tcPr>
            <w:tcW w:w="2552" w:type="dxa"/>
            <w:vAlign w:val="center"/>
          </w:tcPr>
          <w:p w:rsidR="00713BE8" w:rsidRPr="00A12B5C" w:rsidRDefault="00E708EF" w:rsidP="00713BE8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713BE8" w:rsidRPr="00A12B5C" w:rsidRDefault="00D27D98" w:rsidP="00713BE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13BE8" w:rsidRPr="00A12B5C" w:rsidTr="00A83C52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713BE8" w:rsidRPr="00A12B5C" w:rsidRDefault="00A83C52" w:rsidP="00713BE8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r w:rsidR="00713BE8" w:rsidRPr="00A12B5C">
              <w:rPr>
                <w:rFonts w:eastAsia="Times New Roman"/>
                <w:color w:val="000000"/>
                <w:sz w:val="22"/>
              </w:rPr>
              <w:t>Grantovi za šumarstvo</w:t>
            </w:r>
          </w:p>
        </w:tc>
        <w:tc>
          <w:tcPr>
            <w:tcW w:w="2552" w:type="dxa"/>
            <w:vAlign w:val="center"/>
          </w:tcPr>
          <w:p w:rsidR="00713BE8" w:rsidRPr="00A12B5C" w:rsidRDefault="00E708EF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149.614</w:t>
            </w:r>
          </w:p>
        </w:tc>
        <w:tc>
          <w:tcPr>
            <w:tcW w:w="1525" w:type="dxa"/>
            <w:vAlign w:val="center"/>
          </w:tcPr>
          <w:p w:rsidR="00713BE8" w:rsidRPr="00A12B5C" w:rsidRDefault="00D27D98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1,33</w:t>
            </w:r>
          </w:p>
        </w:tc>
      </w:tr>
      <w:tr w:rsidR="00713BE8" w:rsidRPr="00A12B5C" w:rsidTr="00A83C52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713BE8" w:rsidRPr="00A12B5C" w:rsidRDefault="00A83C52" w:rsidP="00713BE8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r w:rsidR="00713BE8" w:rsidRPr="00A12B5C">
              <w:rPr>
                <w:rFonts w:eastAsia="Times New Roman"/>
                <w:color w:val="000000"/>
                <w:sz w:val="22"/>
              </w:rPr>
              <w:t>Grant.za fin.višeg i vis.obraz.i Zavoda za školstvo</w:t>
            </w:r>
          </w:p>
        </w:tc>
        <w:tc>
          <w:tcPr>
            <w:tcW w:w="2552" w:type="dxa"/>
            <w:vAlign w:val="center"/>
          </w:tcPr>
          <w:p w:rsidR="00713BE8" w:rsidRPr="00A12B5C" w:rsidRDefault="00E708EF" w:rsidP="00713BE8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128.996</w:t>
            </w:r>
          </w:p>
        </w:tc>
        <w:tc>
          <w:tcPr>
            <w:tcW w:w="1525" w:type="dxa"/>
            <w:vAlign w:val="center"/>
          </w:tcPr>
          <w:p w:rsidR="00713BE8" w:rsidRPr="00A12B5C" w:rsidRDefault="00D27D98" w:rsidP="00713BE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1,15</w:t>
            </w:r>
          </w:p>
        </w:tc>
      </w:tr>
      <w:tr w:rsidR="00713BE8" w:rsidRPr="00A12B5C" w:rsidTr="00A83C52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713BE8" w:rsidRPr="00A12B5C" w:rsidRDefault="00A83C52" w:rsidP="00E708EF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proofErr w:type="spellStart"/>
            <w:r w:rsidR="00713BE8" w:rsidRPr="00A12B5C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="00713BE8" w:rsidRPr="00A12B5C">
              <w:rPr>
                <w:rFonts w:eastAsia="Times New Roman"/>
                <w:color w:val="000000"/>
                <w:sz w:val="22"/>
              </w:rPr>
              <w:t xml:space="preserve"> za šport</w:t>
            </w:r>
          </w:p>
        </w:tc>
        <w:tc>
          <w:tcPr>
            <w:tcW w:w="2552" w:type="dxa"/>
            <w:vAlign w:val="center"/>
          </w:tcPr>
          <w:p w:rsidR="00713BE8" w:rsidRPr="00A12B5C" w:rsidRDefault="00E708EF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280.000</w:t>
            </w:r>
          </w:p>
        </w:tc>
        <w:tc>
          <w:tcPr>
            <w:tcW w:w="1525" w:type="dxa"/>
            <w:vAlign w:val="center"/>
          </w:tcPr>
          <w:p w:rsidR="00713BE8" w:rsidRPr="00A12B5C" w:rsidRDefault="00D27D98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2,49</w:t>
            </w:r>
          </w:p>
        </w:tc>
      </w:tr>
      <w:tr w:rsidR="00E708EF" w:rsidRPr="00A12B5C" w:rsidTr="00E708EF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E708EF" w:rsidRPr="00A12B5C" w:rsidRDefault="00E708EF" w:rsidP="00E708EF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za </w:t>
            </w:r>
            <w:r>
              <w:rPr>
                <w:rFonts w:eastAsia="Times New Roman"/>
                <w:color w:val="000000"/>
                <w:sz w:val="22"/>
              </w:rPr>
              <w:t>kulturu</w:t>
            </w:r>
          </w:p>
        </w:tc>
        <w:tc>
          <w:tcPr>
            <w:tcW w:w="2552" w:type="dxa"/>
            <w:vAlign w:val="center"/>
          </w:tcPr>
          <w:p w:rsidR="00E708EF" w:rsidRPr="00A12B5C" w:rsidRDefault="00E708EF" w:rsidP="00E708E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70.000</w:t>
            </w:r>
          </w:p>
        </w:tc>
        <w:tc>
          <w:tcPr>
            <w:tcW w:w="1525" w:type="dxa"/>
            <w:vAlign w:val="center"/>
          </w:tcPr>
          <w:p w:rsidR="00E708EF" w:rsidRPr="00A12B5C" w:rsidRDefault="00D27D98" w:rsidP="00E708E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713BE8" w:rsidRPr="00A12B5C" w:rsidTr="00A83C52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713BE8" w:rsidRPr="00A12B5C" w:rsidRDefault="00A83C52" w:rsidP="00713BE8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r w:rsidR="00713BE8" w:rsidRPr="00A12B5C">
              <w:rPr>
                <w:rFonts w:eastAsia="Times New Roman"/>
                <w:color w:val="000000"/>
                <w:sz w:val="22"/>
              </w:rPr>
              <w:t>Transfer za sufinanciranje prijevoza učenika</w:t>
            </w:r>
          </w:p>
        </w:tc>
        <w:tc>
          <w:tcPr>
            <w:tcW w:w="2552" w:type="dxa"/>
            <w:vAlign w:val="center"/>
          </w:tcPr>
          <w:p w:rsidR="00713BE8" w:rsidRPr="00A12B5C" w:rsidRDefault="00E708EF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344.897</w:t>
            </w:r>
          </w:p>
        </w:tc>
        <w:tc>
          <w:tcPr>
            <w:tcW w:w="1525" w:type="dxa"/>
            <w:vAlign w:val="center"/>
          </w:tcPr>
          <w:p w:rsidR="00713BE8" w:rsidRPr="00A12B5C" w:rsidRDefault="00D27D98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3,06</w:t>
            </w:r>
          </w:p>
        </w:tc>
      </w:tr>
      <w:tr w:rsidR="007102F7" w:rsidRPr="00A12B5C" w:rsidTr="00A83C52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7102F7" w:rsidRPr="00A12B5C" w:rsidRDefault="007102F7" w:rsidP="00713BE8">
            <w:pPr>
              <w:rPr>
                <w:rFonts w:eastAsia="Times New Roman"/>
                <w:b/>
                <w:i/>
                <w:color w:val="000000"/>
                <w:sz w:val="22"/>
              </w:rPr>
            </w:pPr>
            <w:r w:rsidRPr="00A12B5C">
              <w:rPr>
                <w:rFonts w:eastAsia="Times New Roman"/>
                <w:b/>
                <w:i/>
                <w:color w:val="000000"/>
                <w:sz w:val="22"/>
              </w:rPr>
              <w:t>Tekući grantovi pojedincima</w:t>
            </w:r>
          </w:p>
        </w:tc>
        <w:tc>
          <w:tcPr>
            <w:tcW w:w="2552" w:type="dxa"/>
            <w:vAlign w:val="center"/>
          </w:tcPr>
          <w:p w:rsidR="007102F7" w:rsidRPr="00A12B5C" w:rsidRDefault="00E708EF" w:rsidP="00713BE8">
            <w:pPr>
              <w:ind w:right="743"/>
              <w:jc w:val="right"/>
              <w:cnfStyle w:val="0000001000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(4.991.306)</w:t>
            </w:r>
          </w:p>
        </w:tc>
        <w:tc>
          <w:tcPr>
            <w:tcW w:w="1525" w:type="dxa"/>
            <w:vAlign w:val="center"/>
          </w:tcPr>
          <w:p w:rsidR="007102F7" w:rsidRPr="00A12B5C" w:rsidRDefault="00D27D98" w:rsidP="00713BE8">
            <w:pPr>
              <w:ind w:right="283"/>
              <w:jc w:val="right"/>
              <w:cnfStyle w:val="0000001000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(44,35)</w:t>
            </w:r>
          </w:p>
        </w:tc>
      </w:tr>
      <w:tr w:rsidR="00713BE8" w:rsidRPr="00A12B5C" w:rsidTr="00A83C52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713BE8" w:rsidRPr="00A12B5C" w:rsidRDefault="00A83C52" w:rsidP="00713BE8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r w:rsidR="00713BE8" w:rsidRPr="00A12B5C">
              <w:rPr>
                <w:rFonts w:eastAsia="Times New Roman"/>
                <w:color w:val="000000"/>
                <w:sz w:val="22"/>
              </w:rPr>
              <w:t>Grant za sufin.nabavke udžbenika učenicima</w:t>
            </w:r>
          </w:p>
        </w:tc>
        <w:tc>
          <w:tcPr>
            <w:tcW w:w="2552" w:type="dxa"/>
            <w:vAlign w:val="center"/>
          </w:tcPr>
          <w:p w:rsidR="00713BE8" w:rsidRPr="00A12B5C" w:rsidRDefault="00E708EF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185.400</w:t>
            </w:r>
          </w:p>
        </w:tc>
        <w:tc>
          <w:tcPr>
            <w:tcW w:w="1525" w:type="dxa"/>
            <w:vAlign w:val="center"/>
          </w:tcPr>
          <w:p w:rsidR="00713BE8" w:rsidRPr="00A12B5C" w:rsidRDefault="00D27D98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1,65</w:t>
            </w:r>
          </w:p>
        </w:tc>
      </w:tr>
      <w:tr w:rsidR="00713BE8" w:rsidRPr="00A12B5C" w:rsidTr="00A83C52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713BE8" w:rsidRPr="00A12B5C" w:rsidRDefault="00A83C52" w:rsidP="00713BE8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r w:rsidR="00713BE8" w:rsidRPr="00A12B5C">
              <w:rPr>
                <w:rFonts w:eastAsia="Times New Roman"/>
                <w:color w:val="000000"/>
                <w:sz w:val="22"/>
              </w:rPr>
              <w:t>Grantovi za povratak raseljenih osoba</w:t>
            </w:r>
          </w:p>
        </w:tc>
        <w:tc>
          <w:tcPr>
            <w:tcW w:w="2552" w:type="dxa"/>
            <w:vAlign w:val="center"/>
          </w:tcPr>
          <w:p w:rsidR="00713BE8" w:rsidRPr="00A12B5C" w:rsidRDefault="00E708EF" w:rsidP="00713BE8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20.000</w:t>
            </w:r>
          </w:p>
        </w:tc>
        <w:tc>
          <w:tcPr>
            <w:tcW w:w="1525" w:type="dxa"/>
            <w:vAlign w:val="center"/>
          </w:tcPr>
          <w:p w:rsidR="00713BE8" w:rsidRPr="00A12B5C" w:rsidRDefault="00D27D98" w:rsidP="00713BE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</w:tr>
      <w:tr w:rsidR="00713BE8" w:rsidRPr="00A12B5C" w:rsidTr="00A83C52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713BE8" w:rsidRPr="00A12B5C" w:rsidRDefault="00A83C52" w:rsidP="00E708EF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proofErr w:type="spellStart"/>
            <w:r w:rsidR="00713BE8" w:rsidRPr="00A12B5C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="00713BE8" w:rsidRPr="00A12B5C">
              <w:rPr>
                <w:rFonts w:eastAsia="Times New Roman"/>
                <w:color w:val="000000"/>
                <w:sz w:val="22"/>
              </w:rPr>
              <w:t xml:space="preserve"> za zdravstvene potrebe</w:t>
            </w:r>
          </w:p>
        </w:tc>
        <w:tc>
          <w:tcPr>
            <w:tcW w:w="2552" w:type="dxa"/>
            <w:vAlign w:val="center"/>
          </w:tcPr>
          <w:p w:rsidR="00713BE8" w:rsidRPr="00A12B5C" w:rsidRDefault="00E708EF" w:rsidP="00713BE8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60.000</w:t>
            </w:r>
          </w:p>
        </w:tc>
        <w:tc>
          <w:tcPr>
            <w:tcW w:w="1525" w:type="dxa"/>
            <w:vAlign w:val="center"/>
          </w:tcPr>
          <w:p w:rsidR="00713BE8" w:rsidRPr="00A12B5C" w:rsidRDefault="00D27D98" w:rsidP="00713BE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0,53</w:t>
            </w:r>
          </w:p>
        </w:tc>
      </w:tr>
      <w:tr w:rsidR="00E708EF" w:rsidRPr="00A12B5C" w:rsidTr="00E708EF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E708EF" w:rsidRPr="00A12B5C" w:rsidRDefault="00E708EF" w:rsidP="00E708EF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za socijalne potrebe</w:t>
            </w:r>
          </w:p>
        </w:tc>
        <w:tc>
          <w:tcPr>
            <w:tcW w:w="2552" w:type="dxa"/>
            <w:vAlign w:val="center"/>
          </w:tcPr>
          <w:p w:rsidR="00E708EF" w:rsidRPr="00A12B5C" w:rsidRDefault="00E708EF" w:rsidP="00E708E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3.445.027</w:t>
            </w:r>
          </w:p>
        </w:tc>
        <w:tc>
          <w:tcPr>
            <w:tcW w:w="1525" w:type="dxa"/>
            <w:vAlign w:val="center"/>
          </w:tcPr>
          <w:p w:rsidR="00E708EF" w:rsidRPr="00A12B5C" w:rsidRDefault="00D27D98" w:rsidP="00E708E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30,61</w:t>
            </w:r>
          </w:p>
        </w:tc>
      </w:tr>
      <w:tr w:rsidR="00D17290" w:rsidRPr="00A12B5C" w:rsidTr="003B5D93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Isplate stipendija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143.700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1,28</w:t>
            </w:r>
          </w:p>
        </w:tc>
      </w:tr>
      <w:tr w:rsidR="00D17290" w:rsidRPr="00A12B5C" w:rsidTr="003B5D93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Grant za sufin.osn.i sred.obraz.djece s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pos.potreb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</w:tr>
      <w:tr w:rsidR="00D17290" w:rsidRPr="00A12B5C" w:rsidTr="003B5D93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za branitelje i stradalnike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Dom.rata</w:t>
            </w:r>
            <w:proofErr w:type="spellEnd"/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1.099.835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9,77</w:t>
            </w:r>
          </w:p>
        </w:tc>
      </w:tr>
      <w:tr w:rsidR="00D17290" w:rsidRPr="00A12B5C" w:rsidTr="003B5D93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za zaštitu od prirodnih i drugih nesreća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22.344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</w:tr>
      <w:tr w:rsidR="00D17290" w:rsidRPr="00A12B5C" w:rsidTr="003B5D93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b/>
                <w:i/>
                <w:color w:val="000000"/>
                <w:sz w:val="22"/>
              </w:rPr>
            </w:pPr>
            <w:r w:rsidRPr="00A12B5C">
              <w:rPr>
                <w:rFonts w:eastAsia="Times New Roman"/>
                <w:b/>
                <w:i/>
                <w:color w:val="000000"/>
                <w:sz w:val="22"/>
              </w:rPr>
              <w:t xml:space="preserve">Tekući </w:t>
            </w:r>
            <w:proofErr w:type="spellStart"/>
            <w:r w:rsidRPr="00A12B5C">
              <w:rPr>
                <w:rFonts w:eastAsia="Times New Roman"/>
                <w:b/>
                <w:i/>
                <w:color w:val="000000"/>
                <w:sz w:val="22"/>
              </w:rPr>
              <w:t>grantovi</w:t>
            </w:r>
            <w:proofErr w:type="spellEnd"/>
            <w:r w:rsidRPr="00A12B5C">
              <w:rPr>
                <w:rFonts w:eastAsia="Times New Roman"/>
                <w:b/>
                <w:i/>
                <w:color w:val="000000"/>
                <w:sz w:val="22"/>
              </w:rPr>
              <w:t xml:space="preserve"> neprofitnim organizacijama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0000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(665.000)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0000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(5,91)</w:t>
            </w:r>
          </w:p>
        </w:tc>
      </w:tr>
      <w:tr w:rsidR="00D17290" w:rsidRPr="00A12B5C" w:rsidTr="003B5D93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političkim strankama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160.000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1,42</w:t>
            </w:r>
          </w:p>
        </w:tc>
      </w:tr>
      <w:tr w:rsidR="00D17290" w:rsidRPr="00A12B5C" w:rsidTr="003B5D93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neprofitnim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org.i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udrugama građana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70.000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0,62</w:t>
            </w:r>
          </w:p>
        </w:tc>
      </w:tr>
      <w:tr w:rsidR="00D17290" w:rsidRPr="00A12B5C" w:rsidTr="003B5D93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Grant za Crveni križ Županije Posavske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35.000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0,31</w:t>
            </w:r>
          </w:p>
        </w:tc>
      </w:tr>
      <w:tr w:rsidR="00D17290" w:rsidRPr="00A12B5C" w:rsidTr="003B5D93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Grant za Kuću nade Odžak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40.000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0,36</w:t>
            </w:r>
          </w:p>
        </w:tc>
      </w:tr>
      <w:tr w:rsidR="00D17290" w:rsidRPr="00A12B5C" w:rsidTr="003B5D93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2B5C">
              <w:rPr>
                <w:rFonts w:eastAsia="Times New Roman"/>
                <w:color w:val="000000"/>
                <w:sz w:val="20"/>
                <w:szCs w:val="20"/>
              </w:rPr>
              <w:t xml:space="preserve">  o/t Grant za Udr.rod.djece s pos.potr.Put u život Orašje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40.000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0,36</w:t>
            </w:r>
          </w:p>
        </w:tc>
      </w:tr>
      <w:tr w:rsidR="00D17290" w:rsidRPr="00A12B5C" w:rsidTr="003B5D93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2B5C">
              <w:rPr>
                <w:rFonts w:eastAsia="Times New Roman"/>
                <w:color w:val="000000"/>
                <w:sz w:val="20"/>
                <w:szCs w:val="20"/>
              </w:rPr>
              <w:t xml:space="preserve">  o/t Grant za Udr.rod.djece s pos.potr.Angelus Domaljevac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</w:tr>
      <w:tr w:rsidR="00D17290" w:rsidRPr="00A12B5C" w:rsidTr="003B5D93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Grant za Gospodarsku komoru ŽP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30.000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</w:tr>
      <w:tr w:rsidR="00D17290" w:rsidRPr="00A12B5C" w:rsidTr="003B5D93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Grant za Obrtničku komoru ŽP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</w:tr>
      <w:tr w:rsidR="00D17290" w:rsidRPr="00A12B5C" w:rsidTr="003B5D93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za informiranje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40.000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0,36</w:t>
            </w:r>
          </w:p>
        </w:tc>
      </w:tr>
      <w:tr w:rsidR="00D17290" w:rsidRPr="00A12B5C" w:rsidTr="003B5D93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za financiranje vjerskih zajednica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220.000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1,95</w:t>
            </w:r>
          </w:p>
        </w:tc>
      </w:tr>
      <w:tr w:rsidR="00D17290" w:rsidRPr="00A12B5C" w:rsidTr="003B5D93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Grant za sufinanc.profes.vatrogasne postrojbe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17290" w:rsidRPr="00A12B5C" w:rsidTr="003B5D93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b/>
                <w:i/>
                <w:color w:val="000000"/>
                <w:sz w:val="22"/>
              </w:rPr>
            </w:pPr>
            <w:r w:rsidRPr="00A12B5C">
              <w:rPr>
                <w:rFonts w:eastAsia="Times New Roman"/>
                <w:b/>
                <w:i/>
                <w:color w:val="000000"/>
                <w:sz w:val="22"/>
              </w:rPr>
              <w:t>Subvencije privatnim poduzećima i poduzetnicima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0000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(2.863.515)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0000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(25,44)</w:t>
            </w:r>
          </w:p>
        </w:tc>
      </w:tr>
      <w:tr w:rsidR="00D17290" w:rsidRPr="00A12B5C" w:rsidTr="003B5D93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Grant za razvoj poduzetništva, obrta i zadruga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1.148.185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10,20</w:t>
            </w:r>
          </w:p>
        </w:tc>
      </w:tr>
      <w:tr w:rsidR="00D17290" w:rsidRPr="00A12B5C" w:rsidTr="003B5D93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za poljoprivredu 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1.099.800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9,77</w:t>
            </w:r>
          </w:p>
        </w:tc>
      </w:tr>
      <w:tr w:rsidR="00D17290" w:rsidRPr="00A12B5C" w:rsidTr="003B5D93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za vodoprivredu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397.482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3,53</w:t>
            </w:r>
          </w:p>
        </w:tc>
      </w:tr>
      <w:tr w:rsidR="00D17290" w:rsidRPr="00A12B5C" w:rsidTr="003B5D93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sz w:val="22"/>
              </w:rPr>
            </w:pPr>
            <w:r w:rsidRPr="00A12B5C">
              <w:rPr>
                <w:sz w:val="22"/>
              </w:rPr>
              <w:t xml:space="preserve">  o/t Grant za uređenje poljoprivrednog zemljišta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218.048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1,94</w:t>
            </w:r>
          </w:p>
        </w:tc>
      </w:tr>
      <w:tr w:rsidR="00D17290" w:rsidRPr="00A12B5C" w:rsidTr="003B5D93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b/>
                <w:i/>
                <w:color w:val="000000"/>
                <w:sz w:val="22"/>
              </w:rPr>
            </w:pPr>
            <w:r w:rsidRPr="00A12B5C">
              <w:rPr>
                <w:rFonts w:eastAsia="Times New Roman"/>
                <w:b/>
                <w:i/>
                <w:color w:val="000000"/>
                <w:sz w:val="22"/>
              </w:rPr>
              <w:t>Drugi tekući rashodi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1000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(106.894)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1000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(0,95)</w:t>
            </w:r>
          </w:p>
        </w:tc>
      </w:tr>
      <w:tr w:rsidR="00D17290" w:rsidRPr="00A12B5C" w:rsidTr="003B5D93">
        <w:trPr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Ostali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– povrat i drugo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66.603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0,59</w:t>
            </w:r>
          </w:p>
        </w:tc>
      </w:tr>
      <w:tr w:rsidR="00D17290" w:rsidRPr="00A12B5C" w:rsidTr="003B5D93">
        <w:trPr>
          <w:cnfStyle w:val="000000100000"/>
          <w:trHeight w:val="227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rFonts w:eastAsia="Times New Roman"/>
                <w:color w:val="000000"/>
                <w:sz w:val="22"/>
              </w:rPr>
            </w:pPr>
            <w:r w:rsidRPr="00A12B5C">
              <w:rPr>
                <w:rFonts w:eastAsia="Times New Roman"/>
                <w:color w:val="000000"/>
                <w:sz w:val="22"/>
              </w:rPr>
              <w:t xml:space="preserve">  o/t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Ost.grantovi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>-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izvrš.sudskih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presuda i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rješ.o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A12B5C">
              <w:rPr>
                <w:rFonts w:eastAsia="Times New Roman"/>
                <w:color w:val="000000"/>
                <w:sz w:val="22"/>
              </w:rPr>
              <w:t>izvrš</w:t>
            </w:r>
            <w:proofErr w:type="spellEnd"/>
            <w:r w:rsidRPr="00A12B5C"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40.291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0,36</w:t>
            </w:r>
          </w:p>
        </w:tc>
      </w:tr>
      <w:tr w:rsidR="00D17290" w:rsidRPr="00A12B5C" w:rsidTr="003B5D93">
        <w:trPr>
          <w:trHeight w:val="283"/>
        </w:trPr>
        <w:tc>
          <w:tcPr>
            <w:cnfStyle w:val="001000000000"/>
            <w:tcW w:w="5211" w:type="dxa"/>
            <w:vAlign w:val="center"/>
          </w:tcPr>
          <w:p w:rsidR="00D17290" w:rsidRPr="00A12B5C" w:rsidRDefault="00D17290" w:rsidP="003B5D93">
            <w:pPr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UKUPNO:</w:t>
            </w:r>
          </w:p>
        </w:tc>
        <w:tc>
          <w:tcPr>
            <w:tcW w:w="2552" w:type="dxa"/>
            <w:vAlign w:val="center"/>
          </w:tcPr>
          <w:p w:rsidR="00D17290" w:rsidRPr="00A12B5C" w:rsidRDefault="00D17290" w:rsidP="003B5D93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t>11.254.222</w:t>
            </w:r>
          </w:p>
        </w:tc>
        <w:tc>
          <w:tcPr>
            <w:tcW w:w="1525" w:type="dxa"/>
            <w:vAlign w:val="center"/>
          </w:tcPr>
          <w:p w:rsidR="00D17290" w:rsidRPr="00A12B5C" w:rsidRDefault="00D17290" w:rsidP="003B5D93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t>100,00</w:t>
            </w:r>
          </w:p>
        </w:tc>
      </w:tr>
    </w:tbl>
    <w:p w:rsidR="00D17290" w:rsidRDefault="00D17290" w:rsidP="00713BE8">
      <w:pPr>
        <w:pStyle w:val="Uvuenotijeloteksta"/>
        <w:spacing w:line="240" w:lineRule="auto"/>
        <w:ind w:firstLine="0"/>
        <w:rPr>
          <w:sz w:val="8"/>
          <w:szCs w:val="8"/>
        </w:rPr>
      </w:pPr>
    </w:p>
    <w:p w:rsidR="00D17290" w:rsidRDefault="00D17290" w:rsidP="00713BE8">
      <w:pPr>
        <w:pStyle w:val="Uvuenotijeloteksta"/>
        <w:spacing w:line="240" w:lineRule="auto"/>
        <w:ind w:firstLine="0"/>
        <w:rPr>
          <w:sz w:val="8"/>
          <w:szCs w:val="8"/>
        </w:rPr>
      </w:pPr>
    </w:p>
    <w:p w:rsidR="00D17290" w:rsidRDefault="00D17290" w:rsidP="00713BE8">
      <w:pPr>
        <w:pStyle w:val="Uvuenotijeloteksta"/>
        <w:spacing w:line="240" w:lineRule="auto"/>
        <w:ind w:firstLine="0"/>
        <w:rPr>
          <w:sz w:val="8"/>
          <w:szCs w:val="8"/>
        </w:rPr>
      </w:pPr>
    </w:p>
    <w:p w:rsidR="00D17290" w:rsidRDefault="00D17290" w:rsidP="00713BE8">
      <w:pPr>
        <w:pStyle w:val="Uvuenotijeloteksta"/>
        <w:spacing w:line="240" w:lineRule="auto"/>
        <w:ind w:firstLine="0"/>
        <w:rPr>
          <w:sz w:val="8"/>
          <w:szCs w:val="8"/>
        </w:rPr>
      </w:pPr>
    </w:p>
    <w:p w:rsidR="00D17290" w:rsidRDefault="00D17290" w:rsidP="00713BE8">
      <w:pPr>
        <w:pStyle w:val="Uvuenotijeloteksta"/>
        <w:spacing w:line="240" w:lineRule="auto"/>
        <w:ind w:firstLine="0"/>
        <w:rPr>
          <w:sz w:val="8"/>
          <w:szCs w:val="8"/>
        </w:rPr>
      </w:pPr>
    </w:p>
    <w:p w:rsidR="00D17290" w:rsidRDefault="00D17290" w:rsidP="00713BE8">
      <w:pPr>
        <w:pStyle w:val="Uvuenotijeloteksta"/>
        <w:spacing w:line="240" w:lineRule="auto"/>
        <w:ind w:firstLine="0"/>
        <w:rPr>
          <w:sz w:val="8"/>
          <w:szCs w:val="8"/>
        </w:rPr>
      </w:pPr>
    </w:p>
    <w:p w:rsidR="00D17290" w:rsidRDefault="00D17290" w:rsidP="00713BE8">
      <w:pPr>
        <w:pStyle w:val="Uvuenotijeloteksta"/>
        <w:spacing w:line="240" w:lineRule="auto"/>
        <w:ind w:firstLine="0"/>
        <w:rPr>
          <w:sz w:val="8"/>
          <w:szCs w:val="8"/>
        </w:rPr>
      </w:pPr>
    </w:p>
    <w:p w:rsidR="00D17290" w:rsidRDefault="00D17290" w:rsidP="00713BE8">
      <w:pPr>
        <w:pStyle w:val="Uvuenotijeloteksta"/>
        <w:spacing w:line="240" w:lineRule="auto"/>
        <w:ind w:firstLine="0"/>
        <w:rPr>
          <w:sz w:val="8"/>
          <w:szCs w:val="8"/>
        </w:rPr>
      </w:pPr>
    </w:p>
    <w:p w:rsidR="00D17290" w:rsidRDefault="00D17290" w:rsidP="00713BE8">
      <w:pPr>
        <w:pStyle w:val="Uvuenotijeloteksta"/>
        <w:spacing w:line="240" w:lineRule="auto"/>
        <w:ind w:firstLine="0"/>
        <w:rPr>
          <w:sz w:val="8"/>
          <w:szCs w:val="8"/>
        </w:rPr>
      </w:pPr>
    </w:p>
    <w:p w:rsidR="00713BE8" w:rsidRDefault="00713BE8" w:rsidP="00713BE8">
      <w:pPr>
        <w:pStyle w:val="Uvuenotijeloteksta"/>
        <w:spacing w:line="240" w:lineRule="auto"/>
        <w:ind w:firstLine="0"/>
        <w:rPr>
          <w:sz w:val="8"/>
          <w:szCs w:val="8"/>
        </w:rPr>
      </w:pPr>
      <w:r w:rsidRPr="00A12B5C">
        <w:rPr>
          <w:noProof/>
          <w:lang w:eastAsia="hr-HR"/>
        </w:rPr>
        <w:lastRenderedPageBreak/>
        <w:drawing>
          <wp:inline distT="0" distB="0" distL="0" distR="0">
            <wp:extent cx="5486400" cy="2259106"/>
            <wp:effectExtent l="19050" t="0" r="0" b="0"/>
            <wp:docPr id="1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13BE8" w:rsidRPr="00A12B5C" w:rsidRDefault="00713BE8" w:rsidP="00713BE8">
      <w:pPr>
        <w:jc w:val="center"/>
        <w:rPr>
          <w:sz w:val="20"/>
          <w:szCs w:val="20"/>
        </w:rPr>
      </w:pPr>
      <w:r w:rsidRPr="00A12B5C">
        <w:rPr>
          <w:sz w:val="20"/>
          <w:szCs w:val="20"/>
        </w:rPr>
        <w:t xml:space="preserve">Graf 14. Struktura izvršenih tekućih </w:t>
      </w:r>
      <w:proofErr w:type="spellStart"/>
      <w:r w:rsidRPr="00A12B5C">
        <w:rPr>
          <w:sz w:val="20"/>
          <w:szCs w:val="20"/>
        </w:rPr>
        <w:t>grantova</w:t>
      </w:r>
      <w:proofErr w:type="spellEnd"/>
      <w:r w:rsidRPr="00A12B5C">
        <w:rPr>
          <w:sz w:val="20"/>
          <w:szCs w:val="20"/>
        </w:rPr>
        <w:t xml:space="preserve"> Proračuna </w:t>
      </w:r>
      <w:proofErr w:type="spellStart"/>
      <w:r w:rsidRPr="00A12B5C">
        <w:rPr>
          <w:sz w:val="20"/>
          <w:szCs w:val="20"/>
        </w:rPr>
        <w:t>Žup.Posavske</w:t>
      </w:r>
      <w:proofErr w:type="spellEnd"/>
      <w:r w:rsidRPr="00A12B5C">
        <w:rPr>
          <w:sz w:val="20"/>
          <w:szCs w:val="20"/>
        </w:rPr>
        <w:t xml:space="preserve"> u 201</w:t>
      </w:r>
      <w:r w:rsidR="00D27D98">
        <w:rPr>
          <w:sz w:val="20"/>
          <w:szCs w:val="20"/>
        </w:rPr>
        <w:t>9</w:t>
      </w:r>
      <w:r w:rsidRPr="00A12B5C">
        <w:rPr>
          <w:sz w:val="20"/>
          <w:szCs w:val="20"/>
        </w:rPr>
        <w:t>. godin</w:t>
      </w:r>
      <w:r w:rsidR="008A4560" w:rsidRPr="00A12B5C">
        <w:rPr>
          <w:sz w:val="20"/>
          <w:szCs w:val="20"/>
        </w:rPr>
        <w:t>i</w:t>
      </w:r>
    </w:p>
    <w:p w:rsidR="00713BE8" w:rsidRPr="00D17290" w:rsidRDefault="00713BE8" w:rsidP="00713BE8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871B25" w:rsidRPr="00A12B5C" w:rsidRDefault="00713BE8" w:rsidP="00713BE8">
      <w:pPr>
        <w:pStyle w:val="Uvuenotijeloteksta"/>
        <w:spacing w:line="240" w:lineRule="auto"/>
        <w:ind w:firstLine="0"/>
      </w:pPr>
      <w:r w:rsidRPr="00A12B5C">
        <w:t>U odnosu na prethodn</w:t>
      </w:r>
      <w:r w:rsidR="008A4560" w:rsidRPr="00A12B5C">
        <w:t>u</w:t>
      </w:r>
      <w:r w:rsidRPr="00A12B5C">
        <w:t xml:space="preserve"> godin</w:t>
      </w:r>
      <w:r w:rsidR="008A4560" w:rsidRPr="00A12B5C">
        <w:t>u</w:t>
      </w:r>
      <w:r w:rsidRPr="00A12B5C">
        <w:t xml:space="preserve"> potrošnja na tekuće </w:t>
      </w:r>
      <w:proofErr w:type="spellStart"/>
      <w:r w:rsidRPr="00A12B5C">
        <w:t>grantove</w:t>
      </w:r>
      <w:proofErr w:type="spellEnd"/>
      <w:r w:rsidRPr="00A12B5C">
        <w:t xml:space="preserve"> </w:t>
      </w:r>
      <w:r w:rsidR="008A4560" w:rsidRPr="00A12B5C">
        <w:t>201</w:t>
      </w:r>
      <w:r w:rsidR="00690A7A">
        <w:t>9</w:t>
      </w:r>
      <w:r w:rsidR="008A4560" w:rsidRPr="00A12B5C">
        <w:t>. godini</w:t>
      </w:r>
      <w:r w:rsidRPr="00A12B5C">
        <w:t xml:space="preserve"> </w:t>
      </w:r>
      <w:r w:rsidR="00690A7A">
        <w:t>manja</w:t>
      </w:r>
      <w:r w:rsidRPr="00A12B5C">
        <w:t xml:space="preserve"> je za </w:t>
      </w:r>
      <w:r w:rsidR="00690A7A">
        <w:t>20.976</w:t>
      </w:r>
      <w:r w:rsidRPr="00A12B5C">
        <w:t xml:space="preserve"> KM, odnosno </w:t>
      </w:r>
      <w:r w:rsidR="00690A7A">
        <w:t>manja</w:t>
      </w:r>
      <w:r w:rsidRPr="00A12B5C">
        <w:t xml:space="preserve"> za </w:t>
      </w:r>
      <w:r w:rsidR="00690A7A">
        <w:t>0,19</w:t>
      </w:r>
      <w:r w:rsidRPr="00A12B5C">
        <w:t xml:space="preserve">%. </w:t>
      </w:r>
      <w:r w:rsidR="00871B25" w:rsidRPr="00A12B5C">
        <w:t xml:space="preserve">Promatrano po strukturi grantovskih davanja do povećanja potrošnje u odnosu na prethodnu godinu došlo je </w:t>
      </w:r>
      <w:r w:rsidR="00690A7A">
        <w:t xml:space="preserve">na slijedećim </w:t>
      </w:r>
      <w:r w:rsidR="004D3FAB">
        <w:t xml:space="preserve">osnovnim </w:t>
      </w:r>
      <w:proofErr w:type="spellStart"/>
      <w:r w:rsidR="00690A7A">
        <w:t>grantovskim</w:t>
      </w:r>
      <w:proofErr w:type="spellEnd"/>
      <w:r w:rsidR="00690A7A">
        <w:t xml:space="preserve"> potkategorijama:</w:t>
      </w:r>
    </w:p>
    <w:p w:rsidR="00871B25" w:rsidRPr="00A12B5C" w:rsidRDefault="00871B25" w:rsidP="00871B25">
      <w:pPr>
        <w:pStyle w:val="Uvuenotijeloteksta"/>
        <w:numPr>
          <w:ilvl w:val="0"/>
          <w:numId w:val="37"/>
        </w:numPr>
        <w:spacing w:line="240" w:lineRule="auto"/>
      </w:pPr>
      <w:r w:rsidRPr="00A12B5C">
        <w:t xml:space="preserve">tekući grantovi drugim razinama vlasti i fondovima – povećanje izdvajanje za </w:t>
      </w:r>
      <w:r w:rsidR="004D3FAB">
        <w:t>299</w:t>
      </w:r>
      <w:r w:rsidRPr="00A12B5C">
        <w:t>.</w:t>
      </w:r>
      <w:r w:rsidR="004D3FAB">
        <w:t>531</w:t>
      </w:r>
      <w:r w:rsidRPr="00A12B5C">
        <w:t xml:space="preserve"> KM, odnosno za </w:t>
      </w:r>
      <w:r w:rsidR="004D3FAB">
        <w:t>12,87</w:t>
      </w:r>
      <w:r w:rsidRPr="00A12B5C">
        <w:t>%,</w:t>
      </w:r>
      <w:r w:rsidR="004D3FAB">
        <w:t xml:space="preserve"> i</w:t>
      </w:r>
    </w:p>
    <w:p w:rsidR="00871B25" w:rsidRPr="00A12B5C" w:rsidRDefault="00871B25" w:rsidP="004D3FAB">
      <w:pPr>
        <w:pStyle w:val="Uvuenotijeloteksta"/>
        <w:numPr>
          <w:ilvl w:val="0"/>
          <w:numId w:val="37"/>
        </w:numPr>
        <w:spacing w:line="240" w:lineRule="auto"/>
      </w:pPr>
      <w:r w:rsidRPr="00A12B5C">
        <w:t xml:space="preserve">tekući </w:t>
      </w:r>
      <w:proofErr w:type="spellStart"/>
      <w:r w:rsidRPr="00A12B5C">
        <w:t>grantovi</w:t>
      </w:r>
      <w:proofErr w:type="spellEnd"/>
      <w:r w:rsidRPr="00A12B5C">
        <w:t xml:space="preserve"> neprofitnim organizacijama - povećanje izdvajanje za </w:t>
      </w:r>
      <w:r w:rsidR="004D3FAB">
        <w:t>2</w:t>
      </w:r>
      <w:r w:rsidRPr="00A12B5C">
        <w:t xml:space="preserve">0.000 KM odnosno za </w:t>
      </w:r>
      <w:r w:rsidR="004D3FAB">
        <w:t>3,10%.</w:t>
      </w:r>
    </w:p>
    <w:p w:rsidR="004D3FAB" w:rsidRDefault="00713BE8" w:rsidP="004D3FAB">
      <w:pPr>
        <w:pStyle w:val="Uvuenotijeloteksta"/>
        <w:spacing w:line="240" w:lineRule="auto"/>
        <w:ind w:firstLine="0"/>
      </w:pPr>
      <w:r w:rsidRPr="00A12B5C">
        <w:t>Najznačajnij</w:t>
      </w:r>
      <w:r w:rsidR="004D3FAB">
        <w:t>e</w:t>
      </w:r>
      <w:r w:rsidRPr="00A12B5C">
        <w:t xml:space="preserve"> povećanj</w:t>
      </w:r>
      <w:r w:rsidR="004D3FAB">
        <w:t>e</w:t>
      </w:r>
      <w:r w:rsidRPr="00A12B5C">
        <w:t xml:space="preserve"> u </w:t>
      </w:r>
      <w:proofErr w:type="spellStart"/>
      <w:r w:rsidRPr="00A12B5C">
        <w:t>grantovskoj</w:t>
      </w:r>
      <w:proofErr w:type="spellEnd"/>
      <w:r w:rsidRPr="00A12B5C">
        <w:t xml:space="preserve"> potrošnji u </w:t>
      </w:r>
      <w:r w:rsidR="008A4560" w:rsidRPr="00A12B5C">
        <w:t>201</w:t>
      </w:r>
      <w:r w:rsidR="004D3FAB">
        <w:t>9</w:t>
      </w:r>
      <w:r w:rsidR="008A4560" w:rsidRPr="00A12B5C">
        <w:t>. godini u odnosu na 201</w:t>
      </w:r>
      <w:r w:rsidR="004D3FAB">
        <w:t>8</w:t>
      </w:r>
      <w:r w:rsidR="008A4560" w:rsidRPr="00A12B5C">
        <w:t>. godinu</w:t>
      </w:r>
      <w:r w:rsidRPr="00A12B5C">
        <w:t xml:space="preserve"> </w:t>
      </w:r>
      <w:r w:rsidR="004D3FAB">
        <w:t>u apsolutno</w:t>
      </w:r>
      <w:r w:rsidR="008A4560" w:rsidRPr="00A12B5C">
        <w:t>m iznos</w:t>
      </w:r>
      <w:r w:rsidR="004D3FAB">
        <w:t>u</w:t>
      </w:r>
      <w:r w:rsidR="008A4560" w:rsidRPr="00A12B5C">
        <w:t xml:space="preserve"> </w:t>
      </w:r>
      <w:r w:rsidRPr="00A12B5C">
        <w:t>zabilježen</w:t>
      </w:r>
      <w:r w:rsidR="004D3FAB">
        <w:t>o je</w:t>
      </w:r>
      <w:r w:rsidRPr="00A12B5C">
        <w:t xml:space="preserve"> na pozicij</w:t>
      </w:r>
      <w:r w:rsidR="004D3FAB">
        <w:t>i Transfer za zdravstvene institucije i centre za socijalni rad (+494.000 KM) pri Ministarstvu zdravstva, rada i socijalne politike.</w:t>
      </w:r>
    </w:p>
    <w:p w:rsidR="004D3FAB" w:rsidRPr="00D17290" w:rsidRDefault="004D3FAB" w:rsidP="004D3FAB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4D3FAB" w:rsidRDefault="004D3FAB" w:rsidP="00713BE8">
      <w:pPr>
        <w:pStyle w:val="Uvuenotijeloteksta"/>
        <w:spacing w:line="240" w:lineRule="auto"/>
        <w:ind w:firstLine="0"/>
      </w:pPr>
      <w:r>
        <w:t xml:space="preserve">Do blagog povećanja potrošnje došlo je i na sljedećim </w:t>
      </w:r>
      <w:proofErr w:type="spellStart"/>
      <w:r>
        <w:t>grantovskim</w:t>
      </w:r>
      <w:proofErr w:type="spellEnd"/>
      <w:r>
        <w:t xml:space="preserve"> pozicijama: Grant za zaštitu okoliša (+3.886 KM), </w:t>
      </w:r>
      <w:proofErr w:type="spellStart"/>
      <w:r>
        <w:t>Grantovi</w:t>
      </w:r>
      <w:proofErr w:type="spellEnd"/>
      <w:r>
        <w:t xml:space="preserve"> za financiranje višeg i visokog obrazovanja i Zavoda za školstvo (+2.246 KM), </w:t>
      </w:r>
      <w:proofErr w:type="spellStart"/>
      <w:r>
        <w:t>Grantovi</w:t>
      </w:r>
      <w:proofErr w:type="spellEnd"/>
      <w:r>
        <w:t xml:space="preserve"> za kulturu (+10.000 KM), Transfer za sufinanciranje prijevoza učenika (+3.663 KM), </w:t>
      </w:r>
      <w:proofErr w:type="spellStart"/>
      <w:r>
        <w:t>Grantovi</w:t>
      </w:r>
      <w:proofErr w:type="spellEnd"/>
      <w:r>
        <w:t xml:space="preserve"> za povratak raseljenih osoba (+500 KM), </w:t>
      </w:r>
      <w:proofErr w:type="spellStart"/>
      <w:r>
        <w:t>Grantovi</w:t>
      </w:r>
      <w:proofErr w:type="spellEnd"/>
      <w:r>
        <w:t xml:space="preserve"> za zdravstvene potrebe (+4.000 KM), </w:t>
      </w:r>
      <w:proofErr w:type="spellStart"/>
      <w:r>
        <w:t>Grantovi</w:t>
      </w:r>
      <w:proofErr w:type="spellEnd"/>
      <w:r>
        <w:t xml:space="preserve"> za financiranje vjerskih zajednica (+20.000 KM), Grant za razvoj poduzetništva, obrta i zadruga (+3.672 KM), te Grant za uređenje poljoprivrednog zemljišta (+1.023 KM). </w:t>
      </w:r>
    </w:p>
    <w:p w:rsidR="004D3FAB" w:rsidRPr="00D17290" w:rsidRDefault="004D3FAB" w:rsidP="00713BE8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2806ED" w:rsidRDefault="004D3FAB" w:rsidP="00713BE8">
      <w:pPr>
        <w:pStyle w:val="Uvuenotijeloteksta"/>
        <w:spacing w:line="240" w:lineRule="auto"/>
        <w:ind w:firstLine="0"/>
      </w:pPr>
      <w:r>
        <w:t>U</w:t>
      </w:r>
      <w:r w:rsidRPr="008D051E">
        <w:t xml:space="preserve"> odnosu na prethodnu godinu </w:t>
      </w:r>
      <w:r>
        <w:t xml:space="preserve">potrošnja </w:t>
      </w:r>
      <w:r w:rsidRPr="008D051E">
        <w:t xml:space="preserve">je smanjena na </w:t>
      </w:r>
      <w:r>
        <w:t xml:space="preserve">svim ostalim </w:t>
      </w:r>
      <w:proofErr w:type="spellStart"/>
      <w:r>
        <w:t>grantovskim</w:t>
      </w:r>
      <w:proofErr w:type="spellEnd"/>
      <w:r>
        <w:t xml:space="preserve"> pozicijama, a najviše na </w:t>
      </w:r>
      <w:proofErr w:type="spellStart"/>
      <w:r>
        <w:t>Grantovima</w:t>
      </w:r>
      <w:proofErr w:type="spellEnd"/>
      <w:r>
        <w:t xml:space="preserve"> nižim razinama vlasti pri Ministarstvu financija, </w:t>
      </w:r>
      <w:proofErr w:type="spellStart"/>
      <w:r>
        <w:t>Grantovima</w:t>
      </w:r>
      <w:proofErr w:type="spellEnd"/>
      <w:r>
        <w:t xml:space="preserve"> za poljoprivredu te </w:t>
      </w:r>
      <w:proofErr w:type="spellStart"/>
      <w:r>
        <w:t>Grantovima</w:t>
      </w:r>
      <w:proofErr w:type="spellEnd"/>
      <w:r>
        <w:t xml:space="preserve"> za vodoprivredu pri Ministarstvu poljoprivrede, vodoprivrede i šumarstva (ukupno manje za 453.156 KM).</w:t>
      </w:r>
    </w:p>
    <w:p w:rsidR="004D3FAB" w:rsidRPr="00D17290" w:rsidRDefault="004D3FAB" w:rsidP="00713BE8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FC40DC" w:rsidRPr="00A12B5C" w:rsidRDefault="00FC40DC" w:rsidP="00FC40DC">
      <w:pPr>
        <w:pStyle w:val="Uvuenotijeloteksta"/>
        <w:spacing w:line="240" w:lineRule="auto"/>
        <w:ind w:firstLine="0"/>
        <w:rPr>
          <w:bCs/>
        </w:rPr>
      </w:pPr>
      <w:r w:rsidRPr="00A12B5C">
        <w:t>U 201</w:t>
      </w:r>
      <w:r w:rsidR="004D3FAB">
        <w:t>9</w:t>
      </w:r>
      <w:r w:rsidRPr="00A12B5C">
        <w:t xml:space="preserve">. godini na </w:t>
      </w:r>
      <w:r w:rsidRPr="00A12B5C">
        <w:rPr>
          <w:b/>
        </w:rPr>
        <w:t xml:space="preserve">kapitalne grantove (potkategorija 615000) </w:t>
      </w:r>
      <w:r w:rsidRPr="00A12B5C">
        <w:t xml:space="preserve">utrošeno je </w:t>
      </w:r>
      <w:r w:rsidR="004D3FAB">
        <w:t>4</w:t>
      </w:r>
      <w:r w:rsidRPr="00A12B5C">
        <w:t>00.000 KM ili 100,00% ukupno planiranih izdataka po ovoj namjeni u 201</w:t>
      </w:r>
      <w:r w:rsidR="004D3FAB">
        <w:t>9</w:t>
      </w:r>
      <w:r w:rsidRPr="00A12B5C">
        <w:t>. godini. Cjelokupna potrošnja realizirana je kod proračunskog korisnika Vlada Županije Posavske i odnosi se na izdvajanje sredstava</w:t>
      </w:r>
      <w:r w:rsidRPr="00A12B5C">
        <w:rPr>
          <w:bCs/>
        </w:rPr>
        <w:t>:</w:t>
      </w:r>
    </w:p>
    <w:p w:rsidR="008A650D" w:rsidRPr="00D27D77" w:rsidRDefault="00D27D77" w:rsidP="00FC40DC">
      <w:pPr>
        <w:pStyle w:val="Uvuenotijeloteksta"/>
        <w:numPr>
          <w:ilvl w:val="0"/>
          <w:numId w:val="13"/>
        </w:numPr>
        <w:spacing w:line="240" w:lineRule="auto"/>
      </w:pPr>
      <w:r>
        <w:t>Općini Domaljevac-</w:t>
      </w:r>
      <w:proofErr w:type="spellStart"/>
      <w:r>
        <w:t>Šamac</w:t>
      </w:r>
      <w:proofErr w:type="spellEnd"/>
      <w:r>
        <w:t xml:space="preserve"> za kapitalnu investiciju II. završne faze izgradnje vodotornja Domaljevac u iznosu od 100.000 KM, sukladno Odluci </w:t>
      </w:r>
      <w:r w:rsidRPr="008A650D">
        <w:rPr>
          <w:bCs/>
        </w:rPr>
        <w:t>o odobravanju izdvajanja sredstava iz Proračuna Županije Posavske</w:t>
      </w:r>
      <w:r>
        <w:rPr>
          <w:bCs/>
        </w:rPr>
        <w:t xml:space="preserve"> za 2019. godinu Općini Domaljevac-</w:t>
      </w:r>
      <w:proofErr w:type="spellStart"/>
      <w:r>
        <w:rPr>
          <w:bCs/>
        </w:rPr>
        <w:t>Šamac</w:t>
      </w:r>
      <w:proofErr w:type="spellEnd"/>
      <w:r>
        <w:rPr>
          <w:bCs/>
        </w:rPr>
        <w:t xml:space="preserve"> i Centru za kulturu Orašje („Narodne novine Županije Posavske“, broj: 14/19),</w:t>
      </w:r>
    </w:p>
    <w:p w:rsidR="00D27D77" w:rsidRPr="00D27D77" w:rsidRDefault="00D27D77" w:rsidP="00FC40DC">
      <w:pPr>
        <w:pStyle w:val="Uvuenotijeloteksta"/>
        <w:numPr>
          <w:ilvl w:val="0"/>
          <w:numId w:val="13"/>
        </w:numPr>
        <w:spacing w:line="240" w:lineRule="auto"/>
      </w:pPr>
      <w:r>
        <w:rPr>
          <w:bCs/>
        </w:rPr>
        <w:t xml:space="preserve">Centru za kulturu Orašje za izradu krovišta i stropne izolacije i postavljanje toplinske izolacije na kino dvorani u Orašju u iznosu od 55.000 KM, </w:t>
      </w:r>
      <w:r>
        <w:t xml:space="preserve">sukladno Odluci </w:t>
      </w:r>
      <w:r w:rsidRPr="008A650D">
        <w:rPr>
          <w:bCs/>
        </w:rPr>
        <w:t>o odobravanju izdvajanja sredstava iz Proračuna Županije Posavske</w:t>
      </w:r>
      <w:r>
        <w:rPr>
          <w:bCs/>
        </w:rPr>
        <w:t xml:space="preserve"> za 2019. godinu </w:t>
      </w:r>
      <w:r>
        <w:rPr>
          <w:bCs/>
        </w:rPr>
        <w:lastRenderedPageBreak/>
        <w:t>Općini Domaljevac-</w:t>
      </w:r>
      <w:proofErr w:type="spellStart"/>
      <w:r>
        <w:rPr>
          <w:bCs/>
        </w:rPr>
        <w:t>Šamac</w:t>
      </w:r>
      <w:proofErr w:type="spellEnd"/>
      <w:r>
        <w:rPr>
          <w:bCs/>
        </w:rPr>
        <w:t xml:space="preserve"> i Centru za kulturu Orašje („Narodne novine Županije Posavske“, broj: 14/19),</w:t>
      </w:r>
    </w:p>
    <w:p w:rsidR="00D27D77" w:rsidRPr="008A650D" w:rsidRDefault="00D27D77" w:rsidP="00FC40DC">
      <w:pPr>
        <w:pStyle w:val="Uvuenotijeloteksta"/>
        <w:numPr>
          <w:ilvl w:val="0"/>
          <w:numId w:val="13"/>
        </w:numPr>
        <w:spacing w:line="240" w:lineRule="auto"/>
      </w:pPr>
      <w:r>
        <w:rPr>
          <w:bCs/>
        </w:rPr>
        <w:t xml:space="preserve">Dječjem vrtiću Pčelica Orašje za dogradnju zgrade dječjeg vrtića u </w:t>
      </w:r>
      <w:proofErr w:type="spellStart"/>
      <w:r>
        <w:rPr>
          <w:bCs/>
        </w:rPr>
        <w:t>Roh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bau</w:t>
      </w:r>
      <w:proofErr w:type="spellEnd"/>
      <w:r>
        <w:rPr>
          <w:bCs/>
        </w:rPr>
        <w:t xml:space="preserve"> fazi u iznosu od 105.000 KM, </w:t>
      </w:r>
      <w:r>
        <w:t xml:space="preserve">sukladno Odluci </w:t>
      </w:r>
      <w:r w:rsidRPr="008A650D">
        <w:rPr>
          <w:bCs/>
        </w:rPr>
        <w:t>o odobravanju izdvajanja sredstava iz Proračuna Županije Posavske</w:t>
      </w:r>
      <w:r>
        <w:rPr>
          <w:bCs/>
        </w:rPr>
        <w:t xml:space="preserve"> za 2019. godinu Dječjem vrtiću Pčelica Orašje („Narodne novine Županije Posavske“, broj: 14/19),</w:t>
      </w:r>
    </w:p>
    <w:p w:rsidR="00FC40DC" w:rsidRPr="008A650D" w:rsidRDefault="00D27D77" w:rsidP="00FC40DC">
      <w:pPr>
        <w:pStyle w:val="Uvuenotijeloteksta"/>
        <w:numPr>
          <w:ilvl w:val="0"/>
          <w:numId w:val="13"/>
        </w:numPr>
        <w:spacing w:line="240" w:lineRule="auto"/>
      </w:pPr>
      <w:r>
        <w:rPr>
          <w:bCs/>
        </w:rPr>
        <w:t>Općini Orašje za sufinanciranje izgradnje zgrade za osobe slabijeg imovnog stanja, sufinanciranje ugradnje spojnih mjesta na vodovodnoj i kanalizacijskoj mreži te za sufinanciranje izgradnje sakralnih</w:t>
      </w:r>
      <w:r w:rsidR="00FC40DC" w:rsidRPr="008A650D">
        <w:rPr>
          <w:bCs/>
        </w:rPr>
        <w:t xml:space="preserve"> </w:t>
      </w:r>
      <w:r>
        <w:rPr>
          <w:bCs/>
        </w:rPr>
        <w:t xml:space="preserve">objekata na prostoru mjesnih zajednica </w:t>
      </w:r>
      <w:r w:rsidR="00FC40DC" w:rsidRPr="008A650D">
        <w:rPr>
          <w:bCs/>
        </w:rPr>
        <w:t xml:space="preserve">u iznosu od </w:t>
      </w:r>
      <w:r>
        <w:rPr>
          <w:bCs/>
        </w:rPr>
        <w:t>90</w:t>
      </w:r>
      <w:r w:rsidR="00FC40DC" w:rsidRPr="008A650D">
        <w:rPr>
          <w:bCs/>
        </w:rPr>
        <w:t>.000 KM, sukladno Odluci o</w:t>
      </w:r>
      <w:r w:rsidR="009F2ECB" w:rsidRPr="008A650D">
        <w:rPr>
          <w:bCs/>
        </w:rPr>
        <w:t xml:space="preserve"> odobravanju izdvajanja sredstava iz Proračuna Županije Posavske </w:t>
      </w:r>
      <w:r w:rsidR="00EB7084">
        <w:rPr>
          <w:bCs/>
        </w:rPr>
        <w:t xml:space="preserve">za 2019. godinu </w:t>
      </w:r>
      <w:r w:rsidR="009F2ECB" w:rsidRPr="008A650D">
        <w:rPr>
          <w:bCs/>
        </w:rPr>
        <w:t xml:space="preserve">Općini </w:t>
      </w:r>
      <w:r>
        <w:rPr>
          <w:bCs/>
        </w:rPr>
        <w:t xml:space="preserve">Orašje i Općini </w:t>
      </w:r>
      <w:r w:rsidR="009F2ECB" w:rsidRPr="008A650D">
        <w:rPr>
          <w:bCs/>
        </w:rPr>
        <w:t xml:space="preserve">Odžak („Narodne novine Županije Posavske“, broj: </w:t>
      </w:r>
      <w:r>
        <w:rPr>
          <w:bCs/>
        </w:rPr>
        <w:t>16</w:t>
      </w:r>
      <w:r w:rsidR="009F2ECB" w:rsidRPr="008A650D">
        <w:rPr>
          <w:bCs/>
        </w:rPr>
        <w:t>/1</w:t>
      </w:r>
      <w:r>
        <w:rPr>
          <w:bCs/>
        </w:rPr>
        <w:t>9</w:t>
      </w:r>
      <w:r w:rsidR="009F2ECB" w:rsidRPr="008A650D">
        <w:rPr>
          <w:bCs/>
        </w:rPr>
        <w:t>)</w:t>
      </w:r>
      <w:r w:rsidR="00FC40DC" w:rsidRPr="008A650D">
        <w:rPr>
          <w:bCs/>
        </w:rPr>
        <w:t>, i</w:t>
      </w:r>
    </w:p>
    <w:p w:rsidR="00FC40DC" w:rsidRPr="008A650D" w:rsidRDefault="00FC40DC" w:rsidP="00FC40DC">
      <w:pPr>
        <w:pStyle w:val="Uvuenotijeloteksta"/>
        <w:numPr>
          <w:ilvl w:val="0"/>
          <w:numId w:val="13"/>
        </w:numPr>
        <w:spacing w:line="240" w:lineRule="auto"/>
      </w:pPr>
      <w:r w:rsidRPr="008A650D">
        <w:rPr>
          <w:bCs/>
        </w:rPr>
        <w:t xml:space="preserve">Općini </w:t>
      </w:r>
      <w:r w:rsidR="00D27D77">
        <w:rPr>
          <w:bCs/>
        </w:rPr>
        <w:t>Odžak</w:t>
      </w:r>
      <w:r w:rsidRPr="008A650D">
        <w:rPr>
          <w:bCs/>
        </w:rPr>
        <w:t xml:space="preserve"> </w:t>
      </w:r>
      <w:r w:rsidR="009F2ECB" w:rsidRPr="008A650D">
        <w:rPr>
          <w:bCs/>
        </w:rPr>
        <w:t xml:space="preserve">u ukupnom iznosu od </w:t>
      </w:r>
      <w:r w:rsidR="00D27D77">
        <w:rPr>
          <w:bCs/>
        </w:rPr>
        <w:t>50.000</w:t>
      </w:r>
      <w:r w:rsidR="009F2ECB" w:rsidRPr="008A650D">
        <w:rPr>
          <w:bCs/>
        </w:rPr>
        <w:t xml:space="preserve"> KM, i to </w:t>
      </w:r>
      <w:r w:rsidR="00D27D77">
        <w:rPr>
          <w:bCs/>
        </w:rPr>
        <w:t xml:space="preserve">za potrebe vodoopskrbe Mjesne zajednice </w:t>
      </w:r>
      <w:proofErr w:type="spellStart"/>
      <w:r w:rsidR="00D27D77">
        <w:rPr>
          <w:bCs/>
        </w:rPr>
        <w:t>Osječak</w:t>
      </w:r>
      <w:proofErr w:type="spellEnd"/>
      <w:r w:rsidR="00D27D77">
        <w:rPr>
          <w:bCs/>
        </w:rPr>
        <w:t xml:space="preserve">, te za izradu projektne dokumentacije vodoopskrbe naselja Prud, </w:t>
      </w:r>
      <w:proofErr w:type="spellStart"/>
      <w:r w:rsidR="00D27D77">
        <w:rPr>
          <w:bCs/>
        </w:rPr>
        <w:t>Vojskova</w:t>
      </w:r>
      <w:proofErr w:type="spellEnd"/>
      <w:r w:rsidR="00D27D77">
        <w:rPr>
          <w:bCs/>
        </w:rPr>
        <w:t xml:space="preserve"> i Zorice</w:t>
      </w:r>
      <w:r w:rsidR="009F2ECB" w:rsidRPr="008A650D">
        <w:t xml:space="preserve">, </w:t>
      </w:r>
      <w:r w:rsidR="009F2ECB" w:rsidRPr="008A650D">
        <w:rPr>
          <w:bCs/>
        </w:rPr>
        <w:t xml:space="preserve">sukladno Odluci o odobravanju izdvajanja sredstava iz Proračuna Županije Posavske </w:t>
      </w:r>
      <w:r w:rsidR="00EB7084">
        <w:rPr>
          <w:bCs/>
        </w:rPr>
        <w:t xml:space="preserve">za 2019. godinu </w:t>
      </w:r>
      <w:r w:rsidR="00EB7084" w:rsidRPr="008A650D">
        <w:rPr>
          <w:bCs/>
        </w:rPr>
        <w:t xml:space="preserve">Općini </w:t>
      </w:r>
      <w:r w:rsidR="00EB7084">
        <w:rPr>
          <w:bCs/>
        </w:rPr>
        <w:t xml:space="preserve">Orašje i Općini </w:t>
      </w:r>
      <w:r w:rsidR="00EB7084" w:rsidRPr="008A650D">
        <w:rPr>
          <w:bCs/>
        </w:rPr>
        <w:t xml:space="preserve">Odžak („Narodne novine Županije Posavske“, broj: </w:t>
      </w:r>
      <w:r w:rsidR="00EB7084">
        <w:rPr>
          <w:bCs/>
        </w:rPr>
        <w:t>16</w:t>
      </w:r>
      <w:r w:rsidR="00EB7084" w:rsidRPr="008A650D">
        <w:rPr>
          <w:bCs/>
        </w:rPr>
        <w:t>/1</w:t>
      </w:r>
      <w:r w:rsidR="00EB7084">
        <w:rPr>
          <w:bCs/>
        </w:rPr>
        <w:t>9</w:t>
      </w:r>
      <w:r w:rsidR="00EB7084" w:rsidRPr="008A650D">
        <w:rPr>
          <w:bCs/>
        </w:rPr>
        <w:t>)</w:t>
      </w:r>
      <w:r w:rsidR="009F2ECB" w:rsidRPr="008A650D">
        <w:rPr>
          <w:bCs/>
        </w:rPr>
        <w:t>.</w:t>
      </w:r>
    </w:p>
    <w:p w:rsidR="009F2ECB" w:rsidRPr="00D17290" w:rsidRDefault="009F2ECB" w:rsidP="009F2ECB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713BE8" w:rsidRPr="00A12B5C" w:rsidRDefault="009F2ECB" w:rsidP="009F2ECB">
      <w:pPr>
        <w:pStyle w:val="Uvuenotijeloteksta"/>
        <w:spacing w:line="240" w:lineRule="auto"/>
        <w:ind w:firstLine="0"/>
      </w:pPr>
      <w:r w:rsidRPr="00A12B5C">
        <w:t xml:space="preserve">Izdvajanja na kapitalne </w:t>
      </w:r>
      <w:proofErr w:type="spellStart"/>
      <w:r w:rsidRPr="00A12B5C">
        <w:t>grantove</w:t>
      </w:r>
      <w:proofErr w:type="spellEnd"/>
      <w:r w:rsidRPr="00A12B5C">
        <w:t xml:space="preserve"> u 201</w:t>
      </w:r>
      <w:r w:rsidR="00EB7084">
        <w:t>9</w:t>
      </w:r>
      <w:r w:rsidRPr="00A12B5C">
        <w:t xml:space="preserve">. godini </w:t>
      </w:r>
      <w:r w:rsidR="00EB7084">
        <w:t>manju</w:t>
      </w:r>
      <w:r w:rsidRPr="00A12B5C">
        <w:t xml:space="preserve"> su za 200.000 KM od izdvajanja u 201</w:t>
      </w:r>
      <w:r w:rsidR="00EB7084">
        <w:t>8</w:t>
      </w:r>
      <w:r w:rsidRPr="00A12B5C">
        <w:t>.</w:t>
      </w:r>
      <w:r w:rsidR="00D107DB">
        <w:t xml:space="preserve"> </w:t>
      </w:r>
      <w:r w:rsidRPr="00A12B5C">
        <w:t xml:space="preserve">godini, odnosno </w:t>
      </w:r>
      <w:r w:rsidR="00EB7084">
        <w:t>manji</w:t>
      </w:r>
      <w:r w:rsidRPr="00A12B5C">
        <w:t xml:space="preserve"> za </w:t>
      </w:r>
      <w:r w:rsidR="00EB7084">
        <w:t>33,33</w:t>
      </w:r>
      <w:r w:rsidRPr="00A12B5C">
        <w:t>%.</w:t>
      </w:r>
    </w:p>
    <w:p w:rsidR="009F2ECB" w:rsidRPr="00D17290" w:rsidRDefault="009F2ECB" w:rsidP="00713BE8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F2ECB" w:rsidRPr="00A12B5C" w:rsidRDefault="009F2ECB" w:rsidP="009F2ECB">
      <w:pPr>
        <w:pStyle w:val="Uvuenotijeloteksta"/>
        <w:spacing w:line="240" w:lineRule="auto"/>
        <w:ind w:firstLine="0"/>
      </w:pPr>
      <w:r w:rsidRPr="00A12B5C">
        <w:rPr>
          <w:b/>
        </w:rPr>
        <w:t>Izdaci za kamate (potkategorija 616000)</w:t>
      </w:r>
      <w:r w:rsidRPr="00A12B5C">
        <w:t xml:space="preserve"> ostvareni su u iznosu od </w:t>
      </w:r>
      <w:r w:rsidR="00EB7084">
        <w:t>51.620</w:t>
      </w:r>
      <w:r w:rsidRPr="00A12B5C">
        <w:t xml:space="preserve"> KM ili 99,2</w:t>
      </w:r>
      <w:r w:rsidR="00EB7084">
        <w:t>7</w:t>
      </w:r>
      <w:r w:rsidRPr="00A12B5C">
        <w:t>% ukupno planiranih izdataka po ovoj namjeni, a odnose se na otplatu slijedećih kamata:</w:t>
      </w:r>
    </w:p>
    <w:p w:rsidR="009F2ECB" w:rsidRPr="00A12B5C" w:rsidRDefault="009F2ECB" w:rsidP="009F2ECB">
      <w:pPr>
        <w:widowControl/>
        <w:numPr>
          <w:ilvl w:val="0"/>
          <w:numId w:val="9"/>
        </w:numPr>
        <w:jc w:val="both"/>
      </w:pPr>
      <w:r w:rsidRPr="00A12B5C">
        <w:t xml:space="preserve">pri Ministarstvu prosvjete, znanosti, kulture i športa kamate na kredit OPEC fonda u iznosu od </w:t>
      </w:r>
      <w:r w:rsidR="00EB7084">
        <w:t>2.415</w:t>
      </w:r>
      <w:r w:rsidRPr="00A12B5C">
        <w:t xml:space="preserve"> KM,</w:t>
      </w:r>
    </w:p>
    <w:p w:rsidR="009F2ECB" w:rsidRPr="00A12B5C" w:rsidRDefault="009F2ECB" w:rsidP="009F2ECB">
      <w:pPr>
        <w:widowControl/>
        <w:numPr>
          <w:ilvl w:val="0"/>
          <w:numId w:val="9"/>
        </w:numPr>
        <w:jc w:val="both"/>
      </w:pPr>
      <w:r w:rsidRPr="00A12B5C">
        <w:rPr>
          <w:szCs w:val="24"/>
        </w:rPr>
        <w:t>pri Ministarstva financija kamate na kredit Export-Import banke Koreja za financiranje Faze II Projekta „Modernizacija bolnica u Bosni i Hercegovini“ u iznosu od 21.</w:t>
      </w:r>
      <w:r w:rsidR="00EB7084">
        <w:rPr>
          <w:szCs w:val="24"/>
        </w:rPr>
        <w:t>130</w:t>
      </w:r>
      <w:r w:rsidRPr="00A12B5C">
        <w:rPr>
          <w:szCs w:val="24"/>
        </w:rPr>
        <w:t xml:space="preserve"> KM, i kamate na kredit UniCredit bank Austria AG za financiranje projekta nabave, instalacije, obuke i održavanja medicinske i nemedicinske opreme i usluga u Županijskoj bolnici Orašje u</w:t>
      </w:r>
      <w:r w:rsidRPr="00A12B5C">
        <w:t xml:space="preserve"> iznosu do </w:t>
      </w:r>
      <w:r w:rsidR="00EB7084">
        <w:t>28.075</w:t>
      </w:r>
      <w:r w:rsidRPr="00A12B5C">
        <w:t xml:space="preserve"> KM.</w:t>
      </w:r>
    </w:p>
    <w:p w:rsidR="009F2ECB" w:rsidRPr="00D17290" w:rsidRDefault="009F2ECB" w:rsidP="009F2ECB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F2ECB" w:rsidRPr="00A12B5C" w:rsidRDefault="009F2ECB" w:rsidP="009F2ECB">
      <w:pPr>
        <w:pStyle w:val="Uvuenotijeloteksta"/>
        <w:spacing w:line="240" w:lineRule="auto"/>
        <w:ind w:firstLine="0"/>
      </w:pPr>
      <w:r w:rsidRPr="00A12B5C">
        <w:t>U odnosu na 201</w:t>
      </w:r>
      <w:r w:rsidR="00EB7084">
        <w:t>8</w:t>
      </w:r>
      <w:r w:rsidRPr="00A12B5C">
        <w:t>. godinu izdaci za kamate i ostale naknade su u 201</w:t>
      </w:r>
      <w:r w:rsidR="00EB7084">
        <w:t>9</w:t>
      </w:r>
      <w:r w:rsidRPr="00A12B5C">
        <w:t xml:space="preserve">. godini manji za </w:t>
      </w:r>
      <w:r w:rsidR="00EB7084">
        <w:t>14,54</w:t>
      </w:r>
      <w:r w:rsidRPr="00A12B5C">
        <w:t>%</w:t>
      </w:r>
      <w:r w:rsidR="00EB7084">
        <w:t>,</w:t>
      </w:r>
      <w:r w:rsidRPr="00A12B5C">
        <w:t xml:space="preserve"> ili u apsolutnom iznosu manji za </w:t>
      </w:r>
      <w:r w:rsidR="00EB7084">
        <w:t>8.785</w:t>
      </w:r>
      <w:r w:rsidRPr="00A12B5C">
        <w:t xml:space="preserve"> KM.</w:t>
      </w:r>
    </w:p>
    <w:p w:rsidR="00F52A77" w:rsidRPr="00A12B5C" w:rsidRDefault="00F52A77" w:rsidP="00122F5D">
      <w:pPr>
        <w:jc w:val="both"/>
        <w:rPr>
          <w:b/>
          <w:szCs w:val="24"/>
        </w:rPr>
      </w:pPr>
    </w:p>
    <w:p w:rsidR="00F52A77" w:rsidRPr="00A12B5C" w:rsidRDefault="00F52A77" w:rsidP="00122F5D">
      <w:pPr>
        <w:jc w:val="both"/>
        <w:rPr>
          <w:b/>
          <w:szCs w:val="24"/>
        </w:rPr>
      </w:pPr>
    </w:p>
    <w:p w:rsidR="009B5283" w:rsidRPr="00A12B5C" w:rsidRDefault="009B5283" w:rsidP="00122F5D">
      <w:pPr>
        <w:jc w:val="both"/>
        <w:rPr>
          <w:b/>
          <w:szCs w:val="24"/>
        </w:rPr>
      </w:pPr>
      <w:r w:rsidRPr="00A12B5C">
        <w:rPr>
          <w:b/>
          <w:szCs w:val="24"/>
        </w:rPr>
        <w:t>3</w:t>
      </w:r>
      <w:r w:rsidRPr="00A12B5C">
        <w:rPr>
          <w:b/>
          <w:szCs w:val="24"/>
        </w:rPr>
        <w:tab/>
        <w:t>TEKUĆA BILANCA</w:t>
      </w:r>
    </w:p>
    <w:p w:rsidR="00DF68FD" w:rsidRPr="00A12B5C" w:rsidRDefault="00DF68FD" w:rsidP="00122F5D">
      <w:pPr>
        <w:pStyle w:val="Uvuenotijeloteksta"/>
        <w:spacing w:line="240" w:lineRule="auto"/>
        <w:ind w:firstLine="0"/>
      </w:pPr>
    </w:p>
    <w:p w:rsidR="00EB7084" w:rsidRDefault="00EB7084" w:rsidP="00EB7084">
      <w:pPr>
        <w:pStyle w:val="Uvuenotijeloteksta"/>
        <w:spacing w:line="240" w:lineRule="auto"/>
        <w:ind w:firstLine="0"/>
      </w:pPr>
      <w:r>
        <w:t>Obzirom da je u 2019. godini ostvareno 42.048.235 KM proračunskih prihoda, te izvršeno 39.369.411 KM proračunskih rashoda, Proračun Županije Posavske je ostvario tekući suficit u iznosu od 2.678.824 KM.</w:t>
      </w:r>
    </w:p>
    <w:p w:rsidR="00E469BF" w:rsidRPr="00D17290" w:rsidRDefault="00E469BF" w:rsidP="00122F5D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E469BF" w:rsidRPr="00A12B5C" w:rsidRDefault="00E469BF" w:rsidP="00122F5D">
      <w:pPr>
        <w:widowControl/>
        <w:jc w:val="center"/>
        <w:rPr>
          <w:rFonts w:eastAsia="Times New Roman"/>
          <w:szCs w:val="24"/>
        </w:rPr>
      </w:pPr>
      <w:r w:rsidRPr="00A12B5C"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4758055" cy="1896533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469BF" w:rsidRPr="00A12B5C" w:rsidRDefault="00E469BF" w:rsidP="00E469BF">
      <w:pPr>
        <w:jc w:val="both"/>
        <w:rPr>
          <w:b/>
          <w:szCs w:val="24"/>
        </w:rPr>
      </w:pPr>
      <w:r w:rsidRPr="00A12B5C">
        <w:rPr>
          <w:b/>
          <w:szCs w:val="24"/>
        </w:rPr>
        <w:lastRenderedPageBreak/>
        <w:t>4</w:t>
      </w:r>
      <w:r w:rsidRPr="00A12B5C">
        <w:rPr>
          <w:b/>
          <w:szCs w:val="24"/>
        </w:rPr>
        <w:tab/>
        <w:t>PRIMICI OD PRODAJE NEFINANCIJSKE IMOVINE</w:t>
      </w:r>
    </w:p>
    <w:p w:rsidR="009B5283" w:rsidRPr="00A12B5C" w:rsidRDefault="009B5283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EB7084" w:rsidRDefault="009F2ECB" w:rsidP="00EB7084">
      <w:pPr>
        <w:pStyle w:val="Uvuenotijeloteksta"/>
        <w:spacing w:line="240" w:lineRule="auto"/>
        <w:ind w:firstLine="0"/>
      </w:pPr>
      <w:r w:rsidRPr="00A12B5C">
        <w:t>U 201</w:t>
      </w:r>
      <w:r w:rsidR="00EB7084">
        <w:t>9</w:t>
      </w:r>
      <w:r w:rsidRPr="00A12B5C">
        <w:t xml:space="preserve">. godini realizirano je </w:t>
      </w:r>
      <w:r w:rsidR="00EB7084">
        <w:t xml:space="preserve">realizirano je 5.436 KM </w:t>
      </w:r>
      <w:r w:rsidR="00EB7084" w:rsidRPr="00A12B5C">
        <w:rPr>
          <w:b/>
        </w:rPr>
        <w:t>primitaka od prodaje nefinancijske imovine odnosno kapitalnih primitaka (kategorija 810000)</w:t>
      </w:r>
      <w:r w:rsidR="00EB7084" w:rsidRPr="00A12B5C">
        <w:t xml:space="preserve">, što je </w:t>
      </w:r>
      <w:r w:rsidR="00EB7084">
        <w:t>99,93</w:t>
      </w:r>
      <w:r w:rsidR="00EB7084" w:rsidRPr="00A12B5C">
        <w:t>% planiranih kapitalnih primitaka u 201</w:t>
      </w:r>
      <w:r w:rsidR="00EB7084">
        <w:t>9</w:t>
      </w:r>
      <w:r w:rsidR="00EB7084" w:rsidRPr="00A12B5C">
        <w:t>. godini. Realizirani primici se odnose na</w:t>
      </w:r>
      <w:r w:rsidR="00EB7084">
        <w:t xml:space="preserve">: </w:t>
      </w:r>
    </w:p>
    <w:p w:rsidR="00EB7084" w:rsidRDefault="00EB7084" w:rsidP="00EB7084">
      <w:pPr>
        <w:pStyle w:val="Uvuenotijeloteksta"/>
        <w:numPr>
          <w:ilvl w:val="0"/>
          <w:numId w:val="45"/>
        </w:numPr>
        <w:spacing w:line="240" w:lineRule="auto"/>
        <w:ind w:hanging="294"/>
      </w:pPr>
      <w:r>
        <w:t xml:space="preserve">primitke od prodaje zemljišta proračunskog korisnika Osnovna škola A.G.Matoša </w:t>
      </w:r>
      <w:proofErr w:type="spellStart"/>
      <w:r>
        <w:t>Vidovice</w:t>
      </w:r>
      <w:proofErr w:type="spellEnd"/>
      <w:r>
        <w:t xml:space="preserve"> u iznosu od 4.080 KM, te</w:t>
      </w:r>
    </w:p>
    <w:p w:rsidR="00EB7084" w:rsidRDefault="00EB7084" w:rsidP="00EB7084">
      <w:pPr>
        <w:pStyle w:val="Uvuenotijeloteksta"/>
        <w:numPr>
          <w:ilvl w:val="0"/>
          <w:numId w:val="44"/>
        </w:numPr>
        <w:spacing w:line="240" w:lineRule="auto"/>
        <w:ind w:left="709" w:hanging="289"/>
      </w:pPr>
      <w:r>
        <w:t>primitke od prodaje prometnih vozila proračunskog korisnika Općinski sud Orašje u iznosu od 1.356 KM.</w:t>
      </w:r>
    </w:p>
    <w:p w:rsidR="009F2ECB" w:rsidRPr="00A12B5C" w:rsidRDefault="009F2ECB" w:rsidP="009F2ECB">
      <w:pPr>
        <w:pStyle w:val="Uvuenotijeloteksta"/>
        <w:spacing w:line="240" w:lineRule="auto"/>
        <w:ind w:firstLine="0"/>
      </w:pPr>
      <w:r w:rsidRPr="00A12B5C">
        <w:t>U odnosu na 201</w:t>
      </w:r>
      <w:r w:rsidR="00EB7084">
        <w:t>8</w:t>
      </w:r>
      <w:r w:rsidRPr="00A12B5C">
        <w:t>. godin</w:t>
      </w:r>
      <w:r w:rsidR="005C1B72" w:rsidRPr="00A12B5C">
        <w:t>u</w:t>
      </w:r>
      <w:r w:rsidRPr="00A12B5C">
        <w:t xml:space="preserve"> primici od prodaje nefinancijske imovine su </w:t>
      </w:r>
      <w:r w:rsidR="00EB7084">
        <w:t>veći</w:t>
      </w:r>
      <w:r w:rsidRPr="00A12B5C">
        <w:t xml:space="preserve"> za </w:t>
      </w:r>
      <w:r w:rsidR="00EB7084">
        <w:t>4.635</w:t>
      </w:r>
      <w:r w:rsidRPr="00A12B5C">
        <w:t xml:space="preserve"> KM.</w:t>
      </w:r>
    </w:p>
    <w:p w:rsidR="005C1B72" w:rsidRDefault="005C1B72" w:rsidP="009554E4">
      <w:pPr>
        <w:pStyle w:val="Uvuenotijeloteksta"/>
        <w:spacing w:line="240" w:lineRule="auto"/>
        <w:ind w:firstLine="0"/>
      </w:pPr>
    </w:p>
    <w:p w:rsidR="002549C3" w:rsidRPr="00A12B5C" w:rsidRDefault="002549C3" w:rsidP="009554E4">
      <w:pPr>
        <w:pStyle w:val="Uvuenotijeloteksta"/>
        <w:spacing w:line="240" w:lineRule="auto"/>
        <w:ind w:firstLine="0"/>
      </w:pPr>
    </w:p>
    <w:p w:rsidR="00E469BF" w:rsidRPr="00A12B5C" w:rsidRDefault="00E469BF" w:rsidP="00E469BF">
      <w:pPr>
        <w:jc w:val="both"/>
        <w:rPr>
          <w:b/>
          <w:szCs w:val="24"/>
        </w:rPr>
      </w:pPr>
      <w:r w:rsidRPr="00A12B5C">
        <w:rPr>
          <w:b/>
          <w:szCs w:val="24"/>
        </w:rPr>
        <w:t>5</w:t>
      </w:r>
      <w:r w:rsidRPr="00A12B5C">
        <w:rPr>
          <w:b/>
          <w:szCs w:val="24"/>
        </w:rPr>
        <w:tab/>
        <w:t>IZDACI ZA NABAVKU NEFINANCIJSKE IMOVINE</w:t>
      </w:r>
    </w:p>
    <w:p w:rsidR="00E469BF" w:rsidRPr="00A12B5C" w:rsidRDefault="00E469BF" w:rsidP="00E469BF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E469BF" w:rsidRPr="00A12B5C" w:rsidRDefault="00E469BF" w:rsidP="00E469BF">
      <w:pPr>
        <w:pStyle w:val="Uvuenotijeloteksta"/>
        <w:spacing w:line="240" w:lineRule="auto"/>
        <w:ind w:firstLine="0"/>
      </w:pPr>
      <w:r w:rsidRPr="00A12B5C">
        <w:rPr>
          <w:b/>
        </w:rPr>
        <w:t>Izdaci za nabavku nefinancijske imovine odnosno izdaci za nabavku stalnih sredstava (potkategorija 821000)</w:t>
      </w:r>
      <w:r w:rsidRPr="00A12B5C">
        <w:t xml:space="preserve"> ostvareni su u iznosu od </w:t>
      </w:r>
      <w:r w:rsidR="00EB7084">
        <w:t>1.108.166</w:t>
      </w:r>
      <w:r w:rsidRPr="00A12B5C">
        <w:t xml:space="preserve"> KM, što je </w:t>
      </w:r>
      <w:r w:rsidR="00EB7084">
        <w:t>70,29</w:t>
      </w:r>
      <w:r w:rsidRPr="00A12B5C">
        <w:t>% u odnosu na planirana sredstva. U odnosu na 201</w:t>
      </w:r>
      <w:r w:rsidR="00EB7084">
        <w:t>8</w:t>
      </w:r>
      <w:r w:rsidRPr="00A12B5C">
        <w:t xml:space="preserve">. godinu ovi izdaci su </w:t>
      </w:r>
      <w:r w:rsidR="005C1B72" w:rsidRPr="00A12B5C">
        <w:t>manji</w:t>
      </w:r>
      <w:r w:rsidR="004A0B2C" w:rsidRPr="00A12B5C">
        <w:t xml:space="preserve"> za </w:t>
      </w:r>
      <w:r w:rsidR="00EB7084">
        <w:t>32,01</w:t>
      </w:r>
      <w:r w:rsidR="004A0B2C" w:rsidRPr="00A12B5C">
        <w:t xml:space="preserve">%, odnosno </w:t>
      </w:r>
      <w:r w:rsidRPr="00A12B5C">
        <w:t xml:space="preserve">u apsolutnom iznosu </w:t>
      </w:r>
      <w:r w:rsidR="005C1B72" w:rsidRPr="00A12B5C">
        <w:t>manji</w:t>
      </w:r>
      <w:r w:rsidRPr="00A12B5C">
        <w:t xml:space="preserve"> za </w:t>
      </w:r>
      <w:r w:rsidR="00EB7084">
        <w:t>521.714</w:t>
      </w:r>
      <w:r w:rsidRPr="00A12B5C">
        <w:t xml:space="preserve"> KM. Slijedi tablični i grafički prikaz strukture izvršenih izdataka za nabavku stalnih sredstava u 201</w:t>
      </w:r>
      <w:r w:rsidR="00EB7084">
        <w:t>9</w:t>
      </w:r>
      <w:r w:rsidRPr="00A12B5C">
        <w:t>. godin</w:t>
      </w:r>
      <w:r w:rsidR="004A0B2C" w:rsidRPr="00A12B5C">
        <w:t>i</w:t>
      </w:r>
      <w:r w:rsidRPr="00A12B5C">
        <w:t>.</w:t>
      </w:r>
    </w:p>
    <w:p w:rsidR="009F215C" w:rsidRPr="00A12B5C" w:rsidRDefault="009F215C" w:rsidP="00E469BF">
      <w:pPr>
        <w:jc w:val="both"/>
        <w:rPr>
          <w:sz w:val="20"/>
          <w:szCs w:val="20"/>
        </w:rPr>
      </w:pPr>
    </w:p>
    <w:p w:rsidR="00E469BF" w:rsidRPr="00A12B5C" w:rsidRDefault="00E469BF" w:rsidP="00E469BF">
      <w:pPr>
        <w:jc w:val="both"/>
        <w:rPr>
          <w:sz w:val="20"/>
          <w:szCs w:val="20"/>
        </w:rPr>
      </w:pPr>
      <w:r w:rsidRPr="00A12B5C">
        <w:rPr>
          <w:sz w:val="20"/>
          <w:szCs w:val="20"/>
        </w:rPr>
        <w:t xml:space="preserve">Tablica </w:t>
      </w:r>
      <w:r w:rsidR="00A832B5" w:rsidRPr="00A12B5C">
        <w:rPr>
          <w:sz w:val="20"/>
          <w:szCs w:val="20"/>
        </w:rPr>
        <w:t>13</w:t>
      </w:r>
      <w:r w:rsidRPr="00A12B5C">
        <w:rPr>
          <w:sz w:val="20"/>
          <w:szCs w:val="20"/>
        </w:rPr>
        <w:t>. Struktura izvršenih izdataka za nabavku stalnih sredstava u 201</w:t>
      </w:r>
      <w:r w:rsidR="00EB7084">
        <w:rPr>
          <w:sz w:val="20"/>
          <w:szCs w:val="20"/>
        </w:rPr>
        <w:t>9</w:t>
      </w:r>
      <w:r w:rsidRPr="00A12B5C">
        <w:rPr>
          <w:sz w:val="20"/>
          <w:szCs w:val="20"/>
        </w:rPr>
        <w:t>. godin</w:t>
      </w:r>
      <w:r w:rsidR="004A0B2C" w:rsidRPr="00A12B5C">
        <w:rPr>
          <w:sz w:val="20"/>
          <w:szCs w:val="20"/>
        </w:rPr>
        <w:t>i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E469BF" w:rsidRPr="00A12B5C" w:rsidTr="000404AD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E469BF" w:rsidRPr="00A12B5C" w:rsidRDefault="00E469BF" w:rsidP="000404AD">
            <w:pPr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E469BF" w:rsidRPr="00A12B5C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Ostvareno</w:t>
            </w:r>
          </w:p>
          <w:p w:rsidR="00E469BF" w:rsidRPr="00A12B5C" w:rsidRDefault="00E469BF" w:rsidP="00EB7084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201</w:t>
            </w:r>
            <w:r w:rsidR="00EB7084">
              <w:rPr>
                <w:b/>
                <w:sz w:val="22"/>
              </w:rPr>
              <w:t>9</w:t>
            </w:r>
            <w:r w:rsidRPr="00A12B5C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E469BF" w:rsidRPr="00A12B5C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 xml:space="preserve">% </w:t>
            </w:r>
          </w:p>
          <w:p w:rsidR="00E469BF" w:rsidRPr="00A12B5C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učešća</w:t>
            </w:r>
          </w:p>
        </w:tc>
      </w:tr>
      <w:tr w:rsidR="00E469BF" w:rsidRPr="00A12B5C" w:rsidTr="000404AD">
        <w:trPr>
          <w:cnfStyle w:val="000000100000"/>
        </w:trPr>
        <w:tc>
          <w:tcPr>
            <w:cnfStyle w:val="001000000000"/>
            <w:tcW w:w="4503" w:type="dxa"/>
          </w:tcPr>
          <w:p w:rsidR="00E469BF" w:rsidRPr="00A12B5C" w:rsidRDefault="00E469BF" w:rsidP="000404AD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Nabavka građevina</w:t>
            </w:r>
          </w:p>
        </w:tc>
        <w:tc>
          <w:tcPr>
            <w:tcW w:w="3260" w:type="dxa"/>
          </w:tcPr>
          <w:p w:rsidR="00E469BF" w:rsidRPr="00A12B5C" w:rsidRDefault="00EB7084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123.122</w:t>
            </w:r>
          </w:p>
        </w:tc>
        <w:tc>
          <w:tcPr>
            <w:tcW w:w="1525" w:type="dxa"/>
          </w:tcPr>
          <w:p w:rsidR="00E469BF" w:rsidRPr="00A12B5C" w:rsidRDefault="00EB7084" w:rsidP="004A0B2C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11,11</w:t>
            </w:r>
          </w:p>
        </w:tc>
      </w:tr>
      <w:tr w:rsidR="00E469BF" w:rsidRPr="00A12B5C" w:rsidTr="000404AD">
        <w:tc>
          <w:tcPr>
            <w:cnfStyle w:val="001000000000"/>
            <w:tcW w:w="4503" w:type="dxa"/>
          </w:tcPr>
          <w:p w:rsidR="00E469BF" w:rsidRPr="00A12B5C" w:rsidRDefault="00E469BF" w:rsidP="000404AD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Nabavka opreme</w:t>
            </w:r>
          </w:p>
        </w:tc>
        <w:tc>
          <w:tcPr>
            <w:tcW w:w="3260" w:type="dxa"/>
          </w:tcPr>
          <w:p w:rsidR="00E469BF" w:rsidRPr="00A12B5C" w:rsidRDefault="00EB7084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430.949</w:t>
            </w:r>
          </w:p>
        </w:tc>
        <w:tc>
          <w:tcPr>
            <w:tcW w:w="1525" w:type="dxa"/>
          </w:tcPr>
          <w:p w:rsidR="00E469BF" w:rsidRPr="00A12B5C" w:rsidRDefault="00EB7084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38,89</w:t>
            </w:r>
          </w:p>
        </w:tc>
      </w:tr>
      <w:tr w:rsidR="00E469BF" w:rsidRPr="00A12B5C" w:rsidTr="000404AD">
        <w:trPr>
          <w:cnfStyle w:val="000000100000"/>
        </w:trPr>
        <w:tc>
          <w:tcPr>
            <w:cnfStyle w:val="001000000000"/>
            <w:tcW w:w="4503" w:type="dxa"/>
          </w:tcPr>
          <w:p w:rsidR="00E469BF" w:rsidRPr="00A12B5C" w:rsidRDefault="00E756D6" w:rsidP="000404AD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Nabavka stalnih sredstava u obliku prava</w:t>
            </w:r>
          </w:p>
        </w:tc>
        <w:tc>
          <w:tcPr>
            <w:tcW w:w="3260" w:type="dxa"/>
          </w:tcPr>
          <w:p w:rsidR="00E469BF" w:rsidRPr="00A12B5C" w:rsidRDefault="00EB7084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E469BF" w:rsidRPr="00A12B5C" w:rsidRDefault="00EB7084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E756D6" w:rsidRPr="00A12B5C" w:rsidTr="000404AD">
        <w:tc>
          <w:tcPr>
            <w:cnfStyle w:val="001000000000"/>
            <w:tcW w:w="4503" w:type="dxa"/>
          </w:tcPr>
          <w:p w:rsidR="00E756D6" w:rsidRPr="00A12B5C" w:rsidRDefault="00E756D6" w:rsidP="000404AD">
            <w:pPr>
              <w:jc w:val="both"/>
              <w:rPr>
                <w:sz w:val="22"/>
              </w:rPr>
            </w:pPr>
            <w:r w:rsidRPr="00A12B5C">
              <w:rPr>
                <w:sz w:val="22"/>
              </w:rPr>
              <w:t>Rekonstrukcija i investicijsko održavanje</w:t>
            </w:r>
          </w:p>
        </w:tc>
        <w:tc>
          <w:tcPr>
            <w:tcW w:w="3260" w:type="dxa"/>
          </w:tcPr>
          <w:p w:rsidR="00E756D6" w:rsidRPr="00A12B5C" w:rsidRDefault="00EB7084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554.095</w:t>
            </w:r>
          </w:p>
        </w:tc>
        <w:tc>
          <w:tcPr>
            <w:tcW w:w="1525" w:type="dxa"/>
          </w:tcPr>
          <w:p w:rsidR="00E756D6" w:rsidRPr="00A12B5C" w:rsidRDefault="00EB7084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50,00</w:t>
            </w:r>
          </w:p>
        </w:tc>
      </w:tr>
      <w:tr w:rsidR="00E469BF" w:rsidRPr="00A12B5C" w:rsidTr="000404AD">
        <w:trPr>
          <w:cnfStyle w:val="000000100000"/>
        </w:trPr>
        <w:tc>
          <w:tcPr>
            <w:cnfStyle w:val="001000000000"/>
            <w:tcW w:w="4503" w:type="dxa"/>
          </w:tcPr>
          <w:p w:rsidR="00E469BF" w:rsidRPr="00A12B5C" w:rsidRDefault="00E469BF" w:rsidP="000404AD">
            <w:pPr>
              <w:jc w:val="both"/>
              <w:rPr>
                <w:b/>
                <w:sz w:val="22"/>
              </w:rPr>
            </w:pPr>
            <w:r w:rsidRPr="00A12B5C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E469BF" w:rsidRPr="00A12B5C" w:rsidRDefault="00F2547B" w:rsidP="000404AD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EB708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EB7084">
              <w:rPr>
                <w:b/>
                <w:noProof/>
                <w:sz w:val="22"/>
              </w:rPr>
              <w:t>1.108.166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E469BF" w:rsidRPr="00A12B5C" w:rsidRDefault="00F2547B" w:rsidP="000404AD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EB708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EB7084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EB7084">
              <w:rPr>
                <w:b/>
                <w:sz w:val="22"/>
              </w:rPr>
              <w:t>,00</w:t>
            </w:r>
          </w:p>
        </w:tc>
      </w:tr>
    </w:tbl>
    <w:p w:rsidR="00E469BF" w:rsidRPr="00A12B5C" w:rsidRDefault="00E469BF" w:rsidP="00E469BF">
      <w:pPr>
        <w:pStyle w:val="Uvuenotijeloteksta"/>
        <w:spacing w:line="240" w:lineRule="auto"/>
        <w:ind w:firstLine="0"/>
        <w:jc w:val="center"/>
      </w:pPr>
    </w:p>
    <w:p w:rsidR="00E469BF" w:rsidRPr="00A12B5C" w:rsidRDefault="00E469BF" w:rsidP="00E469BF">
      <w:pPr>
        <w:pStyle w:val="Uvuenotijeloteksta"/>
        <w:spacing w:line="240" w:lineRule="auto"/>
        <w:ind w:firstLine="0"/>
        <w:jc w:val="center"/>
      </w:pPr>
      <w:r w:rsidRPr="00A12B5C">
        <w:rPr>
          <w:noProof/>
          <w:lang w:eastAsia="hr-HR"/>
        </w:rPr>
        <w:drawing>
          <wp:inline distT="0" distB="0" distL="0" distR="0">
            <wp:extent cx="5121835" cy="1643529"/>
            <wp:effectExtent l="19050" t="0" r="261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469BF" w:rsidRPr="00A12B5C" w:rsidRDefault="00E469BF" w:rsidP="00E469BF">
      <w:pPr>
        <w:jc w:val="center"/>
        <w:rPr>
          <w:sz w:val="20"/>
          <w:szCs w:val="20"/>
        </w:rPr>
      </w:pPr>
      <w:r w:rsidRPr="00A12B5C">
        <w:rPr>
          <w:sz w:val="20"/>
          <w:szCs w:val="20"/>
        </w:rPr>
        <w:t>Graf 1</w:t>
      </w:r>
      <w:r w:rsidR="00A832B5" w:rsidRPr="00A12B5C">
        <w:rPr>
          <w:sz w:val="20"/>
          <w:szCs w:val="20"/>
        </w:rPr>
        <w:t>5</w:t>
      </w:r>
      <w:r w:rsidRPr="00A12B5C">
        <w:rPr>
          <w:sz w:val="20"/>
          <w:szCs w:val="20"/>
        </w:rPr>
        <w:t>. Struktura izvršenih izdataka za nabavku stalnih sredstava u 201</w:t>
      </w:r>
      <w:r w:rsidR="00AF4F34">
        <w:rPr>
          <w:sz w:val="20"/>
          <w:szCs w:val="20"/>
        </w:rPr>
        <w:t>9</w:t>
      </w:r>
      <w:r w:rsidRPr="00A12B5C">
        <w:rPr>
          <w:sz w:val="20"/>
          <w:szCs w:val="20"/>
        </w:rPr>
        <w:t>. godin</w:t>
      </w:r>
      <w:r w:rsidR="00A82D21" w:rsidRPr="00A12B5C">
        <w:rPr>
          <w:sz w:val="20"/>
          <w:szCs w:val="20"/>
        </w:rPr>
        <w:t>i</w:t>
      </w:r>
    </w:p>
    <w:p w:rsidR="00E469BF" w:rsidRPr="00A12B5C" w:rsidRDefault="00E469BF" w:rsidP="00E469BF">
      <w:pPr>
        <w:pStyle w:val="Uvuenotijeloteksta"/>
        <w:spacing w:line="240" w:lineRule="auto"/>
        <w:ind w:firstLine="0"/>
      </w:pPr>
    </w:p>
    <w:p w:rsidR="005C1B72" w:rsidRPr="00A12B5C" w:rsidRDefault="005C1B72" w:rsidP="005C1B72">
      <w:pPr>
        <w:pStyle w:val="Uvuenotijeloteksta"/>
        <w:spacing w:line="240" w:lineRule="auto"/>
        <w:ind w:firstLine="0"/>
      </w:pPr>
      <w:r w:rsidRPr="00A12B5C">
        <w:t>U 201</w:t>
      </w:r>
      <w:r w:rsidR="00AF4F34">
        <w:t>9</w:t>
      </w:r>
      <w:r w:rsidRPr="00A12B5C">
        <w:t xml:space="preserve">. godini na </w:t>
      </w:r>
      <w:r w:rsidRPr="00A12B5C">
        <w:rPr>
          <w:b/>
          <w:i/>
        </w:rPr>
        <w:t>nabavku građevina (glavna skupina 821200)</w:t>
      </w:r>
      <w:r w:rsidRPr="00A12B5C">
        <w:t xml:space="preserve"> utrošeno je </w:t>
      </w:r>
      <w:r w:rsidR="00AF4F34">
        <w:t>123.122</w:t>
      </w:r>
      <w:r w:rsidRPr="00A12B5C">
        <w:t xml:space="preserve"> KM ili </w:t>
      </w:r>
      <w:r w:rsidR="00AF4F34">
        <w:t>54,09</w:t>
      </w:r>
      <w:r w:rsidRPr="00A12B5C">
        <w:t xml:space="preserve">% ukupno planiranog po ovoj osnovi. Potrošnja je realizirana kod proračunskih korisnika: </w:t>
      </w:r>
    </w:p>
    <w:p w:rsidR="00AF4F34" w:rsidRPr="001A3ADF" w:rsidRDefault="00AF4F34" w:rsidP="00AF4F34">
      <w:pPr>
        <w:pStyle w:val="Uvuenotijeloteksta"/>
        <w:numPr>
          <w:ilvl w:val="0"/>
          <w:numId w:val="38"/>
        </w:numPr>
        <w:spacing w:line="240" w:lineRule="auto"/>
      </w:pPr>
      <w:r w:rsidRPr="001A3ADF">
        <w:t xml:space="preserve">Skupština Županije Posavske u ukupnom iznosu od 977 KM, </w:t>
      </w:r>
      <w:r w:rsidR="00333CD9" w:rsidRPr="001A3ADF">
        <w:t xml:space="preserve">za oblaganje zidova KNAUF pločama na metalnoj </w:t>
      </w:r>
      <w:proofErr w:type="spellStart"/>
      <w:r w:rsidR="00333CD9" w:rsidRPr="001A3ADF">
        <w:t>podkonstrukciji</w:t>
      </w:r>
      <w:proofErr w:type="spellEnd"/>
      <w:r w:rsidR="00333CD9" w:rsidRPr="001A3ADF">
        <w:t xml:space="preserve"> te ugradnju kamenih klupica,</w:t>
      </w:r>
    </w:p>
    <w:p w:rsidR="00AF4F34" w:rsidRPr="001A3ADF" w:rsidRDefault="00AF4F34" w:rsidP="00AF4F34">
      <w:pPr>
        <w:pStyle w:val="Uvuenotijeloteksta"/>
        <w:numPr>
          <w:ilvl w:val="0"/>
          <w:numId w:val="38"/>
        </w:numPr>
        <w:spacing w:line="240" w:lineRule="auto"/>
      </w:pPr>
      <w:r w:rsidRPr="001A3ADF">
        <w:t>Ministarstvo prosvjete, znanosti, kulture i športa u ukupnom iznosu od 64.760 KM</w:t>
      </w:r>
      <w:r w:rsidR="00333CD9" w:rsidRPr="001A3ADF">
        <w:t xml:space="preserve">, na osnovi Ugovora o izvođenju radova – Osnovne škole Vladimira Nazora Odžak za sanaciju objekta Područne škole u </w:t>
      </w:r>
      <w:proofErr w:type="spellStart"/>
      <w:r w:rsidR="00333CD9" w:rsidRPr="001A3ADF">
        <w:t>Potočanima</w:t>
      </w:r>
      <w:proofErr w:type="spellEnd"/>
      <w:r w:rsidR="00333CD9" w:rsidRPr="001A3ADF">
        <w:t>, broj: 06-14-1420-14/19 od 27.12.2019. godine</w:t>
      </w:r>
    </w:p>
    <w:p w:rsidR="00AF4F34" w:rsidRPr="001A3ADF" w:rsidRDefault="00AF4F34" w:rsidP="00AF4F34">
      <w:pPr>
        <w:pStyle w:val="Uvuenotijeloteksta"/>
        <w:numPr>
          <w:ilvl w:val="0"/>
          <w:numId w:val="38"/>
        </w:numPr>
        <w:spacing w:line="240" w:lineRule="auto"/>
      </w:pPr>
      <w:r w:rsidRPr="001A3ADF">
        <w:lastRenderedPageBreak/>
        <w:t>Srednja škola Pere Zečevića Odžak u ukupnom iznosu od 4.953 K</w:t>
      </w:r>
      <w:r w:rsidR="00333CD9" w:rsidRPr="001A3ADF">
        <w:t>M, na osnovi Ugovora o izvođenju radova – armiranje i betoniranje AB ploče u radionici i sanacija čajne kuhinje u Srednjoj školi Pere Zečevića Odžak, broj: 647-4/19 od 20.11.2019. godine,</w:t>
      </w:r>
    </w:p>
    <w:p w:rsidR="00AF4F34" w:rsidRDefault="00AF4F34" w:rsidP="00AF4F34">
      <w:pPr>
        <w:pStyle w:val="Uvuenotijeloteksta"/>
        <w:numPr>
          <w:ilvl w:val="0"/>
          <w:numId w:val="38"/>
        </w:numPr>
        <w:spacing w:line="240" w:lineRule="auto"/>
      </w:pPr>
      <w:r w:rsidRPr="00A179D2">
        <w:t>Školski centar fra Martina Nedića Orašje u ukupnom iznosu od 4.938 KM, na osnovi Ugovora o nabavi radova i usluga „Nabavka građevinskih radova sanacije dijela krovišta“, broj: 380-6/2019 od 21.06.2019. godine</w:t>
      </w:r>
      <w:r>
        <w:t>,</w:t>
      </w:r>
    </w:p>
    <w:p w:rsidR="00AF4F34" w:rsidRPr="001A3ADF" w:rsidRDefault="00AF4F34" w:rsidP="00AF4F34">
      <w:pPr>
        <w:pStyle w:val="Uvuenotijeloteksta"/>
        <w:numPr>
          <w:ilvl w:val="0"/>
          <w:numId w:val="38"/>
        </w:numPr>
        <w:spacing w:line="240" w:lineRule="auto"/>
      </w:pPr>
      <w:r w:rsidRPr="004720F5">
        <w:t xml:space="preserve">Srednja strukovna škola Orašje u ukupnom iznosu od 1.521 KM, na osnovi Ugovora o nabavi aluminijskih dvokrilnih vrata za učionicu CNC operatera za Srednju strukovnu </w:t>
      </w:r>
      <w:r w:rsidRPr="001A3ADF">
        <w:t>školu Orašje, broj: 814-6/19 od 27.08.2019. godine,</w:t>
      </w:r>
    </w:p>
    <w:p w:rsidR="00AF4F34" w:rsidRPr="001A3ADF" w:rsidRDefault="00AF4F34" w:rsidP="00AF4F34">
      <w:pPr>
        <w:pStyle w:val="Uvuenotijeloteksta"/>
        <w:numPr>
          <w:ilvl w:val="0"/>
          <w:numId w:val="38"/>
        </w:numPr>
        <w:spacing w:line="240" w:lineRule="auto"/>
      </w:pPr>
      <w:r w:rsidRPr="001A3ADF">
        <w:t>Osnovna škola Vladimira Nazora Odžak u ukupnom iznosu od 5.371 KM</w:t>
      </w:r>
      <w:r w:rsidR="00333CD9" w:rsidRPr="001A3ADF">
        <w:t>, na osnovi Ugovora o izvođenju radova – izmjena podnih obloga u učionicama centralne škole predmetna nastava Osnovne škole Vladimira Nazora Odžak, broj: 01-550/19 od 11.12.2019. godine,</w:t>
      </w:r>
    </w:p>
    <w:p w:rsidR="00333CD9" w:rsidRPr="001A3ADF" w:rsidRDefault="00AF4F34" w:rsidP="00AF4F34">
      <w:pPr>
        <w:pStyle w:val="Uvuenotijeloteksta"/>
        <w:numPr>
          <w:ilvl w:val="0"/>
          <w:numId w:val="38"/>
        </w:numPr>
        <w:spacing w:line="240" w:lineRule="auto"/>
      </w:pPr>
      <w:r w:rsidRPr="001A3ADF">
        <w:t>Osnovna škola fra Ilije Starčevića Tolisa u ukupnom iznosu od 10.955 KM</w:t>
      </w:r>
      <w:r w:rsidR="00333CD9" w:rsidRPr="001A3ADF">
        <w:t>, i to:</w:t>
      </w:r>
    </w:p>
    <w:p w:rsidR="00AF4F34" w:rsidRPr="001A3ADF" w:rsidRDefault="00333CD9" w:rsidP="00333CD9">
      <w:pPr>
        <w:pStyle w:val="Uvuenotijeloteksta"/>
        <w:numPr>
          <w:ilvl w:val="1"/>
          <w:numId w:val="38"/>
        </w:numPr>
        <w:spacing w:line="240" w:lineRule="auto"/>
      </w:pPr>
      <w:r w:rsidRPr="001A3ADF">
        <w:t>na osnovi Ugovora o popravci tribina na školskom igralištu Osnovne škole fra Ilije Starčevića Tolisa, broj: 57-2/19 od 11.11.2019. godine – 3.960 KM, i</w:t>
      </w:r>
    </w:p>
    <w:p w:rsidR="00333CD9" w:rsidRPr="001A3ADF" w:rsidRDefault="00333CD9" w:rsidP="00333CD9">
      <w:pPr>
        <w:pStyle w:val="Uvuenotijeloteksta"/>
        <w:numPr>
          <w:ilvl w:val="1"/>
          <w:numId w:val="38"/>
        </w:numPr>
        <w:spacing w:line="240" w:lineRule="auto"/>
      </w:pPr>
      <w:r w:rsidRPr="001A3ADF">
        <w:t xml:space="preserve">na osnovi Ugovora o sanaciji sanitarnih čvorova u Osnovnoj školi fra Ilije Starčevića Tolisa – Područnoj školi </w:t>
      </w:r>
      <w:proofErr w:type="spellStart"/>
      <w:r w:rsidRPr="001A3ADF">
        <w:t>Kostrč</w:t>
      </w:r>
      <w:proofErr w:type="spellEnd"/>
      <w:r w:rsidRPr="001A3ADF">
        <w:t>, broj: 544-3/19 od 13.12.2019. godine –</w:t>
      </w:r>
      <w:r w:rsidR="001A3ADF" w:rsidRPr="001A3ADF">
        <w:t xml:space="preserve"> 6.995 KM,</w:t>
      </w:r>
    </w:p>
    <w:p w:rsidR="00AF4F34" w:rsidRPr="00A179D2" w:rsidRDefault="00AF4F34" w:rsidP="00AF4F34">
      <w:pPr>
        <w:pStyle w:val="Uvuenotijeloteksta"/>
        <w:numPr>
          <w:ilvl w:val="0"/>
          <w:numId w:val="38"/>
        </w:numPr>
        <w:spacing w:line="240" w:lineRule="auto"/>
      </w:pPr>
      <w:r w:rsidRPr="001A3ADF">
        <w:t>Osnovna škola Stjepana Radića Oštra-Luka Bok u ukupnom iznosu od 24.647</w:t>
      </w:r>
      <w:r w:rsidR="001A3ADF" w:rsidRPr="001A3ADF">
        <w:t xml:space="preserve"> KM</w:t>
      </w:r>
      <w:r w:rsidRPr="001A3ADF">
        <w:t>, i</w:t>
      </w:r>
      <w:r w:rsidRPr="00A179D2">
        <w:t xml:space="preserve"> to</w:t>
      </w:r>
      <w:r w:rsidR="001A3ADF">
        <w:t xml:space="preserve"> na osnovi</w:t>
      </w:r>
      <w:r w:rsidRPr="00A179D2">
        <w:t>:</w:t>
      </w:r>
    </w:p>
    <w:p w:rsidR="00AF4F34" w:rsidRPr="00A179D2" w:rsidRDefault="00AF4F34" w:rsidP="00AF4F34">
      <w:pPr>
        <w:pStyle w:val="Uvuenotijeloteksta"/>
        <w:numPr>
          <w:ilvl w:val="1"/>
          <w:numId w:val="38"/>
        </w:numPr>
        <w:spacing w:line="240" w:lineRule="auto"/>
      </w:pPr>
      <w:r w:rsidRPr="00A179D2">
        <w:t>Ugovora o izvođenju radova na rekonstrukciji dječjih školskih igrališta po područnim školama u OŠ Stjepana Radića u Boku, broj: 116-5/1</w:t>
      </w:r>
      <w:r w:rsidR="001A3ADF">
        <w:t>9 od 21.03.2019. godine – 2.796</w:t>
      </w:r>
      <w:r w:rsidRPr="00A179D2">
        <w:t xml:space="preserve"> KM </w:t>
      </w:r>
      <w:proofErr w:type="spellStart"/>
      <w:r w:rsidRPr="00A179D2">
        <w:t>KM</w:t>
      </w:r>
      <w:proofErr w:type="spellEnd"/>
      <w:r w:rsidRPr="00A179D2">
        <w:t xml:space="preserve">, </w:t>
      </w:r>
    </w:p>
    <w:p w:rsidR="00AF4F34" w:rsidRDefault="00AF4F34" w:rsidP="00AF4F34">
      <w:pPr>
        <w:pStyle w:val="Uvuenotijeloteksta"/>
        <w:numPr>
          <w:ilvl w:val="1"/>
          <w:numId w:val="38"/>
        </w:numPr>
        <w:spacing w:line="240" w:lineRule="auto"/>
      </w:pPr>
      <w:r w:rsidRPr="00A179D2">
        <w:t>Ugovora o izvođenju radova na zamjeni vanjske stolarije u Područnoj školi Oštra Luka, broj: 115-5/19 od 01.04.2019. godine – 2.650</w:t>
      </w:r>
      <w:r>
        <w:t xml:space="preserve"> KM,</w:t>
      </w:r>
    </w:p>
    <w:p w:rsidR="00AF4F34" w:rsidRDefault="00AF4F34" w:rsidP="00AF4F34">
      <w:pPr>
        <w:pStyle w:val="Uvuenotijeloteksta"/>
        <w:numPr>
          <w:ilvl w:val="1"/>
          <w:numId w:val="38"/>
        </w:numPr>
        <w:spacing w:line="240" w:lineRule="auto"/>
      </w:pPr>
      <w:r w:rsidRPr="004720F5">
        <w:t>Ugovora o izvođenju radova na demontaži i zamjeni vodovodnih cijevi u centralnoj školi OŠ Stjepana Radića u Boku, broj: 233-5/19 od 1</w:t>
      </w:r>
      <w:r w:rsidR="001A3ADF">
        <w:t>0.06.2019. godine – 5.195 KM,</w:t>
      </w:r>
    </w:p>
    <w:p w:rsidR="001A3ADF" w:rsidRDefault="001A3ADF" w:rsidP="00AF4F34">
      <w:pPr>
        <w:pStyle w:val="Uvuenotijeloteksta"/>
        <w:numPr>
          <w:ilvl w:val="1"/>
          <w:numId w:val="38"/>
        </w:numPr>
        <w:spacing w:line="240" w:lineRule="auto"/>
      </w:pPr>
      <w:r>
        <w:t>Ugovora o izvođenju sanacijskih radova na zamjeni keramičkih pločica u centralnoj Osnovnoj školi Stjepana Radića u Boku, broj: 540-10/19 od 30.12.2019. godine – 12.996 KM,</w:t>
      </w:r>
    </w:p>
    <w:p w:rsidR="001A3ADF" w:rsidRDefault="001A3ADF" w:rsidP="00AF4F34">
      <w:pPr>
        <w:pStyle w:val="Uvuenotijeloteksta"/>
        <w:numPr>
          <w:ilvl w:val="1"/>
          <w:numId w:val="38"/>
        </w:numPr>
        <w:spacing w:line="240" w:lineRule="auto"/>
      </w:pPr>
      <w:r>
        <w:t>Ugovora o obavljanju stručnog nadzora nad izvođenjem sanacijskih radova na zamjeni keramičkih pločica u centralnoj Osnovnoj školi Stjepana Radića u Boku, broj: 560/19 od 30.12.2019. godine – 304 KM, i</w:t>
      </w:r>
    </w:p>
    <w:p w:rsidR="001A3ADF" w:rsidRPr="00D17290" w:rsidRDefault="001A3ADF" w:rsidP="00AF4F34">
      <w:pPr>
        <w:pStyle w:val="Uvuenotijeloteksta"/>
        <w:numPr>
          <w:ilvl w:val="1"/>
          <w:numId w:val="38"/>
        </w:numPr>
        <w:spacing w:line="240" w:lineRule="auto"/>
      </w:pPr>
      <w:r>
        <w:t xml:space="preserve">Ugovora o izvođenju sanacijskih radova na zamjeni keramičkih pločica u </w:t>
      </w:r>
      <w:proofErr w:type="spellStart"/>
      <w:r>
        <w:t>spravarnici</w:t>
      </w:r>
      <w:proofErr w:type="spellEnd"/>
      <w:r>
        <w:t xml:space="preserve"> centralne Osnovne škole Stjepana Radića u Boku, broj: 567/19 od </w:t>
      </w:r>
      <w:r w:rsidRPr="00D17290">
        <w:t>31.12.2019. godine – 706 KM.</w:t>
      </w:r>
    </w:p>
    <w:p w:rsidR="001A3ADF" w:rsidRPr="00D17290" w:rsidRDefault="00AF4F34" w:rsidP="00D17290">
      <w:pPr>
        <w:pStyle w:val="Uvuenotijeloteksta"/>
        <w:numPr>
          <w:ilvl w:val="0"/>
          <w:numId w:val="46"/>
        </w:numPr>
        <w:spacing w:line="240" w:lineRule="auto"/>
      </w:pPr>
      <w:r w:rsidRPr="00D17290">
        <w:t>Kantonalni sud Odžak u ukupnom iznosu od 5.000 KM</w:t>
      </w:r>
      <w:r w:rsidR="001A3ADF" w:rsidRPr="00D17290">
        <w:t>, i to na osnovi:</w:t>
      </w:r>
      <w:r w:rsidR="00D17290" w:rsidRPr="00D17290">
        <w:t xml:space="preserve"> </w:t>
      </w:r>
      <w:r w:rsidR="001A3ADF" w:rsidRPr="00D17290">
        <w:t>Ugovora o nabavci i ugradnji (dvojih masivnih vrata u Kantonalni sud Odžak), broj: 1-06/2019 od 01.06.2019. godine – 2.800 KM, i</w:t>
      </w:r>
      <w:r w:rsidR="00D17290" w:rsidRPr="00D17290">
        <w:t xml:space="preserve"> za nabavku PVC prozora u iznosu od 2.200 KM.</w:t>
      </w:r>
    </w:p>
    <w:p w:rsidR="00D17290" w:rsidRDefault="00D17290" w:rsidP="005C1B72">
      <w:pPr>
        <w:pStyle w:val="Uvuenotijeloteksta"/>
        <w:spacing w:line="240" w:lineRule="auto"/>
        <w:ind w:firstLine="0"/>
        <w:rPr>
          <w:b/>
          <w:i/>
        </w:rPr>
      </w:pPr>
    </w:p>
    <w:p w:rsidR="00D17290" w:rsidRDefault="00D17290" w:rsidP="005C1B72">
      <w:pPr>
        <w:pStyle w:val="Uvuenotijeloteksta"/>
        <w:spacing w:line="240" w:lineRule="auto"/>
        <w:ind w:firstLine="0"/>
        <w:rPr>
          <w:b/>
          <w:i/>
        </w:rPr>
      </w:pPr>
    </w:p>
    <w:p w:rsidR="005C1B72" w:rsidRPr="00A12B5C" w:rsidRDefault="005C1B72" w:rsidP="005C1B72">
      <w:pPr>
        <w:pStyle w:val="Uvuenotijeloteksta"/>
        <w:spacing w:line="240" w:lineRule="auto"/>
        <w:ind w:firstLine="0"/>
      </w:pPr>
      <w:r w:rsidRPr="00A12B5C">
        <w:rPr>
          <w:b/>
          <w:i/>
        </w:rPr>
        <w:t>Izdaci za nabavku opreme (glavna skupina 821300)</w:t>
      </w:r>
      <w:r w:rsidRPr="00A12B5C">
        <w:t xml:space="preserve"> izvršeni su u visini od </w:t>
      </w:r>
      <w:r w:rsidR="001A3ADF">
        <w:t>430.949</w:t>
      </w:r>
      <w:r w:rsidRPr="00A12B5C">
        <w:t xml:space="preserve"> KM, što je </w:t>
      </w:r>
      <w:r w:rsidR="00550607" w:rsidRPr="00A12B5C">
        <w:t>94,</w:t>
      </w:r>
      <w:r w:rsidR="007937D9">
        <w:t>30</w:t>
      </w:r>
      <w:r w:rsidRPr="00A12B5C">
        <w:t xml:space="preserve">% ukupno planiranih izdataka po ovoj namjeni. </w:t>
      </w:r>
      <w:r w:rsidR="00D17290">
        <w:t>U odnosu na potrošnju u 2018. godini na nabavku opreme u 2019. godini utrošeno je 200.288 KM više.</w:t>
      </w:r>
    </w:p>
    <w:p w:rsidR="00D17290" w:rsidRDefault="00D17290" w:rsidP="005C1B72">
      <w:pPr>
        <w:pStyle w:val="Uvuenotijeloteksta"/>
        <w:spacing w:line="240" w:lineRule="auto"/>
        <w:ind w:firstLine="0"/>
      </w:pPr>
    </w:p>
    <w:p w:rsidR="00D17290" w:rsidRDefault="00D17290" w:rsidP="005C1B72">
      <w:pPr>
        <w:pStyle w:val="Uvuenotijeloteksta"/>
        <w:spacing w:line="240" w:lineRule="auto"/>
        <w:ind w:firstLine="0"/>
      </w:pPr>
    </w:p>
    <w:p w:rsidR="00D17290" w:rsidRPr="00A12B5C" w:rsidRDefault="00D17290" w:rsidP="005C1B72">
      <w:pPr>
        <w:pStyle w:val="Uvuenotijeloteksta"/>
        <w:spacing w:line="240" w:lineRule="auto"/>
        <w:ind w:firstLine="0"/>
      </w:pPr>
    </w:p>
    <w:p w:rsidR="005C1B72" w:rsidRDefault="005C1B72" w:rsidP="00D17290">
      <w:pPr>
        <w:pStyle w:val="Uvuenotijeloteksta"/>
        <w:spacing w:after="120" w:line="240" w:lineRule="auto"/>
        <w:ind w:firstLine="0"/>
      </w:pPr>
      <w:r w:rsidRPr="00A12B5C">
        <w:lastRenderedPageBreak/>
        <w:t xml:space="preserve">Strukturu potrošnje </w:t>
      </w:r>
      <w:r w:rsidR="00D17290">
        <w:t xml:space="preserve">na nabavku opreme </w:t>
      </w:r>
      <w:r w:rsidRPr="00A12B5C">
        <w:t>čine:</w:t>
      </w:r>
    </w:p>
    <w:tbl>
      <w:tblPr>
        <w:tblStyle w:val="Srednjipopis210"/>
        <w:tblW w:w="0" w:type="auto"/>
        <w:tblLook w:val="04A0"/>
      </w:tblPr>
      <w:tblGrid>
        <w:gridCol w:w="1101"/>
        <w:gridCol w:w="5244"/>
        <w:gridCol w:w="1560"/>
        <w:gridCol w:w="1383"/>
      </w:tblGrid>
      <w:tr w:rsidR="007937D9" w:rsidRPr="007937D9" w:rsidTr="007937D9">
        <w:trPr>
          <w:cnfStyle w:val="100000000000"/>
        </w:trPr>
        <w:tc>
          <w:tcPr>
            <w:cnfStyle w:val="001000000100"/>
            <w:tcW w:w="1101" w:type="dxa"/>
          </w:tcPr>
          <w:p w:rsidR="007937D9" w:rsidRPr="007937D9" w:rsidRDefault="007937D9" w:rsidP="005C1B72">
            <w:pPr>
              <w:pStyle w:val="Uvuenotijeloteksta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7937D9">
              <w:rPr>
                <w:b/>
                <w:sz w:val="20"/>
                <w:szCs w:val="20"/>
              </w:rPr>
              <w:t>KONTO</w:t>
            </w:r>
          </w:p>
        </w:tc>
        <w:tc>
          <w:tcPr>
            <w:tcW w:w="5244" w:type="dxa"/>
          </w:tcPr>
          <w:p w:rsidR="007937D9" w:rsidRPr="007937D9" w:rsidRDefault="007937D9" w:rsidP="005C1B72">
            <w:pPr>
              <w:pStyle w:val="Uvuenotijeloteksta"/>
              <w:spacing w:line="240" w:lineRule="auto"/>
              <w:ind w:firstLine="0"/>
              <w:cnfStyle w:val="100000000000"/>
              <w:rPr>
                <w:b/>
                <w:sz w:val="20"/>
                <w:szCs w:val="20"/>
              </w:rPr>
            </w:pPr>
            <w:r w:rsidRPr="007937D9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560" w:type="dxa"/>
          </w:tcPr>
          <w:p w:rsidR="007937D9" w:rsidRPr="007937D9" w:rsidRDefault="007937D9" w:rsidP="005C1B72">
            <w:pPr>
              <w:pStyle w:val="Uvuenotijeloteksta"/>
              <w:spacing w:line="240" w:lineRule="auto"/>
              <w:ind w:firstLine="0"/>
              <w:cnfStyle w:val="100000000000"/>
              <w:rPr>
                <w:b/>
                <w:sz w:val="20"/>
                <w:szCs w:val="20"/>
              </w:rPr>
            </w:pPr>
            <w:r w:rsidRPr="007937D9">
              <w:rPr>
                <w:b/>
                <w:sz w:val="20"/>
                <w:szCs w:val="20"/>
              </w:rPr>
              <w:t>IZNOS (KM)</w:t>
            </w:r>
          </w:p>
        </w:tc>
        <w:tc>
          <w:tcPr>
            <w:tcW w:w="1383" w:type="dxa"/>
          </w:tcPr>
          <w:p w:rsidR="007937D9" w:rsidRPr="007937D9" w:rsidRDefault="007937D9" w:rsidP="007937D9">
            <w:pPr>
              <w:pStyle w:val="Uvuenotijeloteksta"/>
              <w:spacing w:line="240" w:lineRule="auto"/>
              <w:ind w:firstLine="0"/>
              <w:cnfStyle w:val="100000000000"/>
              <w:rPr>
                <w:b/>
                <w:sz w:val="20"/>
                <w:szCs w:val="20"/>
              </w:rPr>
            </w:pPr>
            <w:r w:rsidRPr="007937D9">
              <w:rPr>
                <w:b/>
                <w:sz w:val="20"/>
                <w:szCs w:val="20"/>
              </w:rPr>
              <w:t>% potrošnje</w:t>
            </w:r>
          </w:p>
        </w:tc>
      </w:tr>
      <w:tr w:rsidR="007937D9" w:rsidTr="007937D9">
        <w:trPr>
          <w:cnfStyle w:val="000000100000"/>
        </w:trPr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821311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100000"/>
            </w:pPr>
            <w:r>
              <w:t>N</w:t>
            </w:r>
            <w:r w:rsidRPr="00A12B5C">
              <w:t>abavka namještaja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28.293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6,57</w:t>
            </w:r>
          </w:p>
        </w:tc>
      </w:tr>
      <w:tr w:rsidR="007937D9" w:rsidTr="007937D9"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821312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000000"/>
            </w:pPr>
            <w:r>
              <w:t>N</w:t>
            </w:r>
            <w:r w:rsidRPr="00A12B5C">
              <w:t>abavka računalne opreme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80.556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18,69</w:t>
            </w:r>
          </w:p>
        </w:tc>
      </w:tr>
      <w:tr w:rsidR="007937D9" w:rsidTr="007937D9">
        <w:trPr>
          <w:cnfStyle w:val="000000100000"/>
        </w:trPr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821313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100000"/>
            </w:pPr>
            <w:r>
              <w:t>O</w:t>
            </w:r>
            <w:r w:rsidRPr="00A12B5C">
              <w:t>prema za prijenos podataka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9.129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2,12</w:t>
            </w:r>
          </w:p>
        </w:tc>
      </w:tr>
      <w:tr w:rsidR="007937D9" w:rsidTr="007937D9"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821319</w:t>
            </w:r>
          </w:p>
        </w:tc>
        <w:tc>
          <w:tcPr>
            <w:tcW w:w="5244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cnfStyle w:val="000000000000"/>
            </w:pPr>
            <w:r>
              <w:t>O</w:t>
            </w:r>
            <w:r w:rsidRPr="00A12B5C">
              <w:t>stali uredski strojev</w:t>
            </w:r>
            <w:r>
              <w:t>i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3.631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0,84</w:t>
            </w:r>
          </w:p>
        </w:tc>
      </w:tr>
      <w:tr w:rsidR="007937D9" w:rsidTr="007937D9">
        <w:trPr>
          <w:cnfStyle w:val="000000100000"/>
        </w:trPr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821321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100000"/>
            </w:pPr>
            <w:r>
              <w:t>Motorna vozila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204.148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47,37</w:t>
            </w:r>
          </w:p>
        </w:tc>
      </w:tr>
      <w:tr w:rsidR="007937D9" w:rsidTr="007937D9"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821331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000000"/>
            </w:pPr>
            <w:r>
              <w:t>K</w:t>
            </w:r>
            <w:r w:rsidRPr="00A12B5C">
              <w:t>njižnične i školske knjige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4.875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1,13</w:t>
            </w:r>
          </w:p>
        </w:tc>
      </w:tr>
      <w:tr w:rsidR="007937D9" w:rsidTr="007937D9">
        <w:trPr>
          <w:cnfStyle w:val="000000100000"/>
        </w:trPr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821332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100000"/>
            </w:pPr>
            <w:r>
              <w:t>O</w:t>
            </w:r>
            <w:r w:rsidRPr="00A12B5C">
              <w:t>premanje i namještanje učionica i knjižnica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26.755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6,21</w:t>
            </w:r>
          </w:p>
        </w:tc>
      </w:tr>
      <w:tr w:rsidR="007937D9" w:rsidTr="007937D9"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821335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000000"/>
            </w:pPr>
            <w:r>
              <w:t>R</w:t>
            </w:r>
            <w:r w:rsidRPr="00A12B5C">
              <w:t>ekreacijska oprema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2.899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0,67</w:t>
            </w:r>
          </w:p>
        </w:tc>
      </w:tr>
      <w:tr w:rsidR="007937D9" w:rsidTr="007937D9">
        <w:trPr>
          <w:cnfStyle w:val="000000100000"/>
        </w:trPr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821341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100000"/>
            </w:pPr>
            <w:r>
              <w:t>E</w:t>
            </w:r>
            <w:r w:rsidRPr="00A12B5C">
              <w:t>lektronska oprema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22.772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5,28</w:t>
            </w:r>
          </w:p>
        </w:tc>
      </w:tr>
      <w:tr w:rsidR="007937D9" w:rsidTr="007937D9"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821342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000000"/>
            </w:pPr>
            <w:r>
              <w:t>F</w:t>
            </w:r>
            <w:r w:rsidRPr="00A12B5C">
              <w:t>otografska oprema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1.338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0,31</w:t>
            </w:r>
          </w:p>
        </w:tc>
      </w:tr>
      <w:tr w:rsidR="007937D9" w:rsidTr="007937D9">
        <w:trPr>
          <w:cnfStyle w:val="000000100000"/>
        </w:trPr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821361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100000"/>
            </w:pPr>
            <w:r>
              <w:t>S</w:t>
            </w:r>
            <w:r w:rsidRPr="00A12B5C">
              <w:t>trojevi, uređaji i alati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18.537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4,30</w:t>
            </w:r>
          </w:p>
        </w:tc>
      </w:tr>
      <w:tr w:rsidR="007937D9" w:rsidTr="007937D9"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821371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000000"/>
            </w:pPr>
            <w:r>
              <w:t>U</w:t>
            </w:r>
            <w:r w:rsidRPr="00A12B5C">
              <w:t>građena oprema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2.999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0,70</w:t>
            </w:r>
          </w:p>
        </w:tc>
      </w:tr>
      <w:tr w:rsidR="007937D9" w:rsidTr="007937D9">
        <w:trPr>
          <w:cnfStyle w:val="000000100000"/>
        </w:trPr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821372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100000"/>
            </w:pPr>
            <w:r>
              <w:t>Inventar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347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0,08</w:t>
            </w:r>
          </w:p>
        </w:tc>
      </w:tr>
      <w:tr w:rsidR="007937D9" w:rsidTr="007937D9"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821373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000000"/>
            </w:pPr>
            <w:r>
              <w:t>M</w:t>
            </w:r>
            <w:r w:rsidRPr="00A12B5C">
              <w:t>ehanička oprema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5.849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</w:pPr>
            <w:r>
              <w:t>1,36</w:t>
            </w:r>
          </w:p>
        </w:tc>
      </w:tr>
      <w:tr w:rsidR="007937D9" w:rsidTr="007937D9">
        <w:trPr>
          <w:cnfStyle w:val="000000100000"/>
        </w:trPr>
        <w:tc>
          <w:tcPr>
            <w:cnfStyle w:val="001000000000"/>
            <w:tcW w:w="1101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</w:pPr>
            <w:r>
              <w:t>821382</w:t>
            </w:r>
          </w:p>
        </w:tc>
        <w:tc>
          <w:tcPr>
            <w:tcW w:w="5244" w:type="dxa"/>
          </w:tcPr>
          <w:p w:rsidR="007937D9" w:rsidRDefault="007937D9" w:rsidP="005C1B72">
            <w:pPr>
              <w:pStyle w:val="Uvuenotijeloteksta"/>
              <w:spacing w:line="240" w:lineRule="auto"/>
              <w:ind w:firstLine="0"/>
              <w:cnfStyle w:val="000000100000"/>
            </w:pPr>
            <w:r>
              <w:t>Policijska oprema</w:t>
            </w:r>
          </w:p>
        </w:tc>
        <w:tc>
          <w:tcPr>
            <w:tcW w:w="1560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18.821</w:t>
            </w:r>
          </w:p>
        </w:tc>
        <w:tc>
          <w:tcPr>
            <w:tcW w:w="1383" w:type="dxa"/>
          </w:tcPr>
          <w:p w:rsidR="007937D9" w:rsidRDefault="007937D9" w:rsidP="007937D9">
            <w:pPr>
              <w:pStyle w:val="Uvuenotijeloteksta"/>
              <w:spacing w:line="240" w:lineRule="auto"/>
              <w:ind w:firstLine="0"/>
              <w:jc w:val="right"/>
              <w:cnfStyle w:val="000000100000"/>
            </w:pPr>
            <w:r>
              <w:t>4,37</w:t>
            </w:r>
          </w:p>
        </w:tc>
      </w:tr>
      <w:tr w:rsidR="007937D9" w:rsidRPr="007937D9" w:rsidTr="007937D9">
        <w:tc>
          <w:tcPr>
            <w:cnfStyle w:val="001000000000"/>
            <w:tcW w:w="1101" w:type="dxa"/>
          </w:tcPr>
          <w:p w:rsidR="007937D9" w:rsidRPr="007937D9" w:rsidRDefault="007937D9" w:rsidP="005C1B72">
            <w:pPr>
              <w:pStyle w:val="Uvuenotijeloteksta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244" w:type="dxa"/>
          </w:tcPr>
          <w:p w:rsidR="007937D9" w:rsidRPr="007937D9" w:rsidRDefault="007937D9" w:rsidP="005C1B72">
            <w:pPr>
              <w:pStyle w:val="Uvuenotijeloteksta"/>
              <w:spacing w:line="240" w:lineRule="auto"/>
              <w:ind w:firstLine="0"/>
              <w:cnfStyle w:val="000000000000"/>
              <w:rPr>
                <w:b/>
              </w:rPr>
            </w:pPr>
            <w:r w:rsidRPr="007937D9">
              <w:rPr>
                <w:b/>
              </w:rPr>
              <w:t>UKUPNO:</w:t>
            </w:r>
          </w:p>
        </w:tc>
        <w:tc>
          <w:tcPr>
            <w:tcW w:w="1560" w:type="dxa"/>
          </w:tcPr>
          <w:p w:rsidR="007937D9" w:rsidRPr="007937D9" w:rsidRDefault="00F2547B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</w:rPr>
            </w:pPr>
            <w:r w:rsidRPr="007937D9">
              <w:rPr>
                <w:b/>
              </w:rPr>
              <w:fldChar w:fldCharType="begin"/>
            </w:r>
            <w:r w:rsidR="007937D9" w:rsidRPr="007937D9">
              <w:rPr>
                <w:b/>
              </w:rPr>
              <w:instrText xml:space="preserve"> =SUM(ABOVE) </w:instrText>
            </w:r>
            <w:r w:rsidRPr="007937D9">
              <w:rPr>
                <w:b/>
              </w:rPr>
              <w:fldChar w:fldCharType="separate"/>
            </w:r>
            <w:r w:rsidR="007937D9" w:rsidRPr="007937D9">
              <w:rPr>
                <w:b/>
                <w:noProof/>
              </w:rPr>
              <w:t>430.949</w:t>
            </w:r>
            <w:r w:rsidRPr="007937D9">
              <w:rPr>
                <w:b/>
              </w:rPr>
              <w:fldChar w:fldCharType="end"/>
            </w:r>
          </w:p>
        </w:tc>
        <w:tc>
          <w:tcPr>
            <w:tcW w:w="1383" w:type="dxa"/>
          </w:tcPr>
          <w:p w:rsidR="007937D9" w:rsidRPr="007937D9" w:rsidRDefault="00F2547B" w:rsidP="007937D9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7937D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7937D9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7937D9">
              <w:rPr>
                <w:b/>
              </w:rPr>
              <w:t>,00</w:t>
            </w:r>
          </w:p>
        </w:tc>
      </w:tr>
    </w:tbl>
    <w:p w:rsidR="007937D9" w:rsidRPr="00A12B5C" w:rsidRDefault="007937D9" w:rsidP="005C1B72">
      <w:pPr>
        <w:pStyle w:val="Uvuenotijeloteksta"/>
        <w:spacing w:line="240" w:lineRule="auto"/>
        <w:ind w:firstLine="0"/>
      </w:pPr>
    </w:p>
    <w:p w:rsidR="005C1B72" w:rsidRPr="00A12B5C" w:rsidRDefault="005C1B72" w:rsidP="005C1B72">
      <w:pPr>
        <w:pStyle w:val="Uvuenotijeloteksta"/>
        <w:spacing w:line="240" w:lineRule="auto"/>
        <w:ind w:firstLine="0"/>
      </w:pPr>
    </w:p>
    <w:p w:rsidR="006039B2" w:rsidRPr="00A12B5C" w:rsidRDefault="00467332" w:rsidP="00D43FCB">
      <w:pPr>
        <w:pStyle w:val="Uvuenotijeloteksta"/>
        <w:spacing w:line="240" w:lineRule="auto"/>
        <w:ind w:firstLine="0"/>
      </w:pPr>
      <w:r w:rsidRPr="00A12B5C">
        <w:rPr>
          <w:b/>
          <w:i/>
        </w:rPr>
        <w:t>Izdaci za nabavku stalnih sredstava u obliku prava (glavna skupina 821500)</w:t>
      </w:r>
      <w:r w:rsidRPr="00A12B5C">
        <w:t xml:space="preserve"> </w:t>
      </w:r>
      <w:r w:rsidR="00D43FCB">
        <w:t xml:space="preserve">nisu </w:t>
      </w:r>
      <w:r w:rsidRPr="00A12B5C">
        <w:t>izvrš</w:t>
      </w:r>
      <w:r w:rsidR="00D43FCB">
        <w:t>avani u 2019. godini</w:t>
      </w:r>
      <w:r w:rsidR="006039B2" w:rsidRPr="00A12B5C">
        <w:t>.</w:t>
      </w:r>
      <w:r w:rsidR="00D43FCB">
        <w:t xml:space="preserve"> U 2018. godini na isto je potrošeno 133.752 KM.</w:t>
      </w:r>
    </w:p>
    <w:p w:rsidR="005C1B72" w:rsidRPr="00A12B5C" w:rsidRDefault="005C1B72" w:rsidP="005C1B72">
      <w:pPr>
        <w:pStyle w:val="Uvuenotijeloteksta"/>
        <w:spacing w:line="240" w:lineRule="auto"/>
        <w:ind w:firstLine="0"/>
        <w:rPr>
          <w:highlight w:val="yellow"/>
        </w:rPr>
      </w:pPr>
    </w:p>
    <w:p w:rsidR="005C1B72" w:rsidRPr="00A12B5C" w:rsidRDefault="005C1B72" w:rsidP="005C1B72">
      <w:pPr>
        <w:pStyle w:val="Uvuenotijeloteksta"/>
        <w:spacing w:line="240" w:lineRule="auto"/>
        <w:ind w:firstLine="0"/>
      </w:pPr>
      <w:r w:rsidRPr="00A12B5C">
        <w:t>U 201</w:t>
      </w:r>
      <w:r w:rsidR="00D43FCB">
        <w:t>9</w:t>
      </w:r>
      <w:r w:rsidRPr="00A12B5C">
        <w:t>. godin</w:t>
      </w:r>
      <w:r w:rsidR="00735079" w:rsidRPr="00A12B5C">
        <w:t>i</w:t>
      </w:r>
      <w:r w:rsidRPr="00A12B5C">
        <w:t xml:space="preserve"> na </w:t>
      </w:r>
      <w:r w:rsidRPr="00A12B5C">
        <w:rPr>
          <w:b/>
          <w:i/>
        </w:rPr>
        <w:t>rekonstrukciju i investicijsko održavanje cesta (potkategorija 821600)</w:t>
      </w:r>
      <w:r w:rsidRPr="00A12B5C">
        <w:t xml:space="preserve"> potrošeno je </w:t>
      </w:r>
      <w:r w:rsidR="00D43FCB">
        <w:t>554.095</w:t>
      </w:r>
      <w:r w:rsidRPr="00A12B5C">
        <w:t xml:space="preserve"> KM ili </w:t>
      </w:r>
      <w:r w:rsidR="00D43FCB">
        <w:t>62,12</w:t>
      </w:r>
      <w:r w:rsidRPr="00A12B5C">
        <w:t>% ukupno planiranog za ovu namjenu u 201</w:t>
      </w:r>
      <w:r w:rsidR="00D43FCB">
        <w:t>9</w:t>
      </w:r>
      <w:r w:rsidRPr="00A12B5C">
        <w:t>. godini. U odnosu na prethodn</w:t>
      </w:r>
      <w:r w:rsidR="00735079" w:rsidRPr="00A12B5C">
        <w:t>u</w:t>
      </w:r>
      <w:r w:rsidRPr="00A12B5C">
        <w:t xml:space="preserve"> godin</w:t>
      </w:r>
      <w:r w:rsidR="00735079" w:rsidRPr="00A12B5C">
        <w:t>u</w:t>
      </w:r>
      <w:r w:rsidRPr="00A12B5C">
        <w:t xml:space="preserve"> potrošnja na rekonstrukciju i investicijsko održavanje </w:t>
      </w:r>
      <w:r w:rsidR="00D43FCB">
        <w:t>manja</w:t>
      </w:r>
      <w:r w:rsidRPr="00A12B5C">
        <w:t xml:space="preserve"> je za </w:t>
      </w:r>
      <w:r w:rsidR="00D43FCB">
        <w:t>549.001</w:t>
      </w:r>
      <w:r w:rsidRPr="00A12B5C">
        <w:t xml:space="preserve"> KM ili </w:t>
      </w:r>
      <w:r w:rsidR="00D43FCB">
        <w:t>49,77</w:t>
      </w:r>
      <w:r w:rsidRPr="00A12B5C">
        <w:t xml:space="preserve">% </w:t>
      </w:r>
      <w:r w:rsidR="00D43FCB">
        <w:t>manja</w:t>
      </w:r>
      <w:r w:rsidRPr="00A12B5C">
        <w:t xml:space="preserve">. Utrošeni iznos odnosi se na: </w:t>
      </w:r>
    </w:p>
    <w:p w:rsidR="00D43FCB" w:rsidRDefault="00D43FCB" w:rsidP="005C1B72">
      <w:pPr>
        <w:pStyle w:val="Uvuenotijeloteksta"/>
        <w:numPr>
          <w:ilvl w:val="0"/>
          <w:numId w:val="21"/>
        </w:numPr>
        <w:spacing w:line="240" w:lineRule="auto"/>
      </w:pPr>
      <w:r w:rsidRPr="004720F5">
        <w:t>izvođenje</w:t>
      </w:r>
      <w:r>
        <w:t xml:space="preserve"> građevinskih radova „Popravka led rasvjete u ulici Proleterska, Bosanska i Slavka </w:t>
      </w:r>
      <w:proofErr w:type="spellStart"/>
      <w:r>
        <w:t>Grebenarevića</w:t>
      </w:r>
      <w:proofErr w:type="spellEnd"/>
      <w:r>
        <w:t xml:space="preserve"> u Odžaku prema Ugovoru o izvođenju građevinskih radova, broj: 05-27-104-UG/19 od 23.09.2019. godine, u iznosu od 6.978 KM,</w:t>
      </w:r>
    </w:p>
    <w:p w:rsidR="00B729FA" w:rsidRDefault="00B729FA" w:rsidP="005C1B72">
      <w:pPr>
        <w:pStyle w:val="Uvuenotijeloteksta"/>
        <w:numPr>
          <w:ilvl w:val="0"/>
          <w:numId w:val="21"/>
        </w:numPr>
        <w:spacing w:line="240" w:lineRule="auto"/>
      </w:pPr>
      <w:r>
        <w:t>izvođenje građevinskih radova na sanaciji i rekonstrukciji RC 464A Odžak-</w:t>
      </w:r>
      <w:proofErr w:type="spellStart"/>
      <w:r>
        <w:t>D.Svilaj</w:t>
      </w:r>
      <w:proofErr w:type="spellEnd"/>
      <w:r>
        <w:t xml:space="preserve">, dionica od </w:t>
      </w:r>
      <w:r w:rsidR="004E5C0F">
        <w:t xml:space="preserve">Crkve Sv.I.Krstitelja do raskrižja s ul.A.Šapčanina, sukladno Ugovoru o izvođenju građevinskih radova broj: 05-27-100-UG-LOT1/19 od 03.10.2019. godine, u </w:t>
      </w:r>
      <w:r w:rsidR="00A3610E">
        <w:t xml:space="preserve">ukupnom </w:t>
      </w:r>
      <w:r w:rsidR="004E5C0F">
        <w:t xml:space="preserve">iznosu od </w:t>
      </w:r>
      <w:r w:rsidR="00491B9F">
        <w:t>99.317 KM</w:t>
      </w:r>
      <w:r w:rsidR="00A3610E">
        <w:t>,</w:t>
      </w:r>
    </w:p>
    <w:p w:rsidR="00117E38" w:rsidRDefault="00117E38" w:rsidP="005C1B72">
      <w:pPr>
        <w:pStyle w:val="Uvuenotijeloteksta"/>
        <w:numPr>
          <w:ilvl w:val="0"/>
          <w:numId w:val="21"/>
        </w:numPr>
        <w:spacing w:line="240" w:lineRule="auto"/>
      </w:pPr>
      <w:r>
        <w:t>izvođenje građevinskih radova na sanaciji i rehabilitaciji lokalnih cesta u općinama Orašje i Domaljevac-</w:t>
      </w:r>
      <w:proofErr w:type="spellStart"/>
      <w:r>
        <w:t>Šamac</w:t>
      </w:r>
      <w:proofErr w:type="spellEnd"/>
      <w:r>
        <w:t>, sukladno Ugovoru o izvođenju građevinskih radova, broj: 05-</w:t>
      </w:r>
      <w:r w:rsidR="00B729FA">
        <w:t>23-67-UG-LOT</w:t>
      </w:r>
      <w:r w:rsidR="00185A1E">
        <w:t>2/19</w:t>
      </w:r>
      <w:r>
        <w:t xml:space="preserve"> od </w:t>
      </w:r>
      <w:r w:rsidR="00185A1E">
        <w:t>09</w:t>
      </w:r>
      <w:r>
        <w:t>.1</w:t>
      </w:r>
      <w:r w:rsidR="00185A1E">
        <w:t>0</w:t>
      </w:r>
      <w:r>
        <w:t xml:space="preserve">.2019. godine, u </w:t>
      </w:r>
      <w:r w:rsidR="00A3610E">
        <w:t xml:space="preserve">ukupnom </w:t>
      </w:r>
      <w:r>
        <w:t xml:space="preserve">iznosu od </w:t>
      </w:r>
      <w:r w:rsidR="00491B9F">
        <w:t>153.874</w:t>
      </w:r>
      <w:r w:rsidR="00A3610E">
        <w:t xml:space="preserve"> KM,</w:t>
      </w:r>
    </w:p>
    <w:p w:rsidR="00D43FCB" w:rsidRDefault="00117E38" w:rsidP="005C1B72">
      <w:pPr>
        <w:pStyle w:val="Uvuenotijeloteksta"/>
        <w:numPr>
          <w:ilvl w:val="0"/>
          <w:numId w:val="21"/>
        </w:numPr>
        <w:spacing w:line="240" w:lineRule="auto"/>
      </w:pPr>
      <w:r>
        <w:t xml:space="preserve">izvođenje građevinskih radova na sanaciji i rehabilitaciji lokalnih cesta u Općini Odžak, sukladno Ugovoru o izvođenju građevinskih radova, broj: 05-27-123-UG/19 od 07.11.2019. godine, u </w:t>
      </w:r>
      <w:r w:rsidR="00A3610E">
        <w:t xml:space="preserve">ukupnom </w:t>
      </w:r>
      <w:r>
        <w:t xml:space="preserve">iznosu od </w:t>
      </w:r>
      <w:r w:rsidR="00491B9F">
        <w:t>229.092</w:t>
      </w:r>
      <w:r w:rsidR="00A3610E">
        <w:t xml:space="preserve"> KM,</w:t>
      </w:r>
    </w:p>
    <w:p w:rsidR="00185A1E" w:rsidRDefault="00185A1E" w:rsidP="005C1B72">
      <w:pPr>
        <w:pStyle w:val="Uvuenotijeloteksta"/>
        <w:numPr>
          <w:ilvl w:val="0"/>
          <w:numId w:val="21"/>
        </w:numPr>
        <w:spacing w:line="240" w:lineRule="auto"/>
      </w:pPr>
      <w:r>
        <w:t>usluge nadzora nad sanacijom i rekonstrukcijom RC 463 dionica Donja Mahala – Bok i sanacijom lokalnih cesta u Općini Domaljevac-</w:t>
      </w:r>
      <w:proofErr w:type="spellStart"/>
      <w:r>
        <w:t>Šamac</w:t>
      </w:r>
      <w:proofErr w:type="spellEnd"/>
      <w:r>
        <w:t>, sukladno Ugovoru o nadzoru broj: 05-27-100-NAD-LOT2-3/19 od 15.10.2019. godine, u iznosu od 3.848 KM,</w:t>
      </w:r>
    </w:p>
    <w:p w:rsidR="00185A1E" w:rsidRDefault="00185A1E" w:rsidP="005C1B72">
      <w:pPr>
        <w:pStyle w:val="Uvuenotijeloteksta"/>
        <w:numPr>
          <w:ilvl w:val="0"/>
          <w:numId w:val="21"/>
        </w:numPr>
        <w:spacing w:line="240" w:lineRule="auto"/>
      </w:pPr>
      <w:r>
        <w:t>izvođenje građevinskih radova – krpanje udarnih rupa na RC 463, sukladno Ugovoru o izvođenju građevinskih radova broj: 05-27-172-UG/19 od 20.11.2019. godine, u iznosu od 3.159 KM,</w:t>
      </w:r>
    </w:p>
    <w:p w:rsidR="00185A1E" w:rsidRDefault="00185A1E" w:rsidP="005C1B72">
      <w:pPr>
        <w:pStyle w:val="Uvuenotijeloteksta"/>
        <w:numPr>
          <w:ilvl w:val="0"/>
          <w:numId w:val="21"/>
        </w:numPr>
        <w:spacing w:line="240" w:lineRule="auto"/>
      </w:pPr>
      <w:r>
        <w:t xml:space="preserve">izvođenje građevinskih radova – rasvjeta u ulici </w:t>
      </w:r>
      <w:proofErr w:type="spellStart"/>
      <w:r>
        <w:t>R.Porobića</w:t>
      </w:r>
      <w:proofErr w:type="spellEnd"/>
      <w:r>
        <w:t xml:space="preserve">, Proleterska i </w:t>
      </w:r>
      <w:proofErr w:type="spellStart"/>
      <w:r>
        <w:t>S.Karića</w:t>
      </w:r>
      <w:proofErr w:type="spellEnd"/>
      <w:r>
        <w:t>, sukladno Ugovoru o izvođenju građevinskih radova broj: 05-27-167-UG/19 od 17.12.2019. godine, u iznosu od 6.861 KM</w:t>
      </w:r>
      <w:r w:rsidR="00EA60D4">
        <w:t>,</w:t>
      </w:r>
    </w:p>
    <w:p w:rsidR="00EA60D4" w:rsidRDefault="00EA60D4" w:rsidP="005C1B72">
      <w:pPr>
        <w:pStyle w:val="Uvuenotijeloteksta"/>
        <w:numPr>
          <w:ilvl w:val="0"/>
          <w:numId w:val="21"/>
        </w:numPr>
        <w:spacing w:line="240" w:lineRule="auto"/>
      </w:pPr>
      <w:r>
        <w:lastRenderedPageBreak/>
        <w:t>izvođenje građevinskih radova – dodatni radovi na asfaltiranju lokalnih cesta u Odžaku</w:t>
      </w:r>
      <w:r w:rsidR="00B729FA">
        <w:t>, sukladno Ugovoru o izvođenju građevinskih radova broj: 05-27-145-UG/19 od 05.12.2019. godine, u iznosu od 6.95</w:t>
      </w:r>
      <w:r w:rsidR="00A3610E">
        <w:t>4</w:t>
      </w:r>
      <w:r w:rsidR="00B729FA">
        <w:t xml:space="preserve"> KM,</w:t>
      </w:r>
    </w:p>
    <w:p w:rsidR="004E5C0F" w:rsidRDefault="004E5C0F" w:rsidP="005C1B72">
      <w:pPr>
        <w:pStyle w:val="Uvuenotijeloteksta"/>
        <w:numPr>
          <w:ilvl w:val="0"/>
          <w:numId w:val="21"/>
        </w:numPr>
        <w:spacing w:line="240" w:lineRule="auto"/>
      </w:pPr>
      <w:r>
        <w:t>usluge nadzora nad izvođenjem radova „Sanacija i rehabilitacija lokalnih cesta u Općini Odžak“, sukladno Ugovoru o nadzoru broj: 05-27-123-3/19 d 12.11.2019. godine, u iznosu od 6.791 KM,</w:t>
      </w:r>
    </w:p>
    <w:p w:rsidR="004E5C0F" w:rsidRDefault="004E5C0F" w:rsidP="005C1B72">
      <w:pPr>
        <w:pStyle w:val="Uvuenotijeloteksta"/>
        <w:numPr>
          <w:ilvl w:val="0"/>
          <w:numId w:val="21"/>
        </w:numPr>
        <w:spacing w:line="240" w:lineRule="auto"/>
      </w:pPr>
      <w:r>
        <w:t>usluge nadzora nad izvođenjem građevinskih radova na sanaciji i rekonstrukciji RC 464A Odžak-</w:t>
      </w:r>
      <w:proofErr w:type="spellStart"/>
      <w:r>
        <w:t>D.Svilaj</w:t>
      </w:r>
      <w:proofErr w:type="spellEnd"/>
      <w:r>
        <w:t>, dionica od Crkve Sv.I.Krstitelja do raskrižja s ul.A.Šapčanina, sukladno Ugovoru o nadzoru broj: 05-27-100-NAD-UG-LOT1/19 od 23.12.2019. godine, u iznosu od 2.480 KM,</w:t>
      </w:r>
    </w:p>
    <w:p w:rsidR="004E5C0F" w:rsidRDefault="004E5C0F" w:rsidP="005C1B72">
      <w:pPr>
        <w:pStyle w:val="Uvuenotijeloteksta"/>
        <w:numPr>
          <w:ilvl w:val="0"/>
          <w:numId w:val="21"/>
        </w:numPr>
        <w:spacing w:line="240" w:lineRule="auto"/>
      </w:pPr>
      <w:r>
        <w:t xml:space="preserve">izvođenje građevinskih radova – dodatni građevinski radovi na sanaciji i rehabilitaciji lokalnih cesta u Općini Odžak, sukladno Ugovoru o izvođenju građevinskih radova broj </w:t>
      </w:r>
      <w:r w:rsidR="00491B9F">
        <w:t>05-27-158-UG/19 od 16.12.2019. godine, u iznosu od 34.741 KM.</w:t>
      </w:r>
    </w:p>
    <w:p w:rsidR="006057E6" w:rsidRDefault="006057E6" w:rsidP="009554E4">
      <w:pPr>
        <w:rPr>
          <w:szCs w:val="24"/>
        </w:rPr>
      </w:pPr>
    </w:p>
    <w:p w:rsidR="00D17290" w:rsidRPr="00A12B5C" w:rsidRDefault="00D17290" w:rsidP="009554E4">
      <w:pPr>
        <w:rPr>
          <w:szCs w:val="24"/>
        </w:rPr>
      </w:pPr>
    </w:p>
    <w:p w:rsidR="00890C24" w:rsidRPr="00A12B5C" w:rsidRDefault="00890C24" w:rsidP="00122F5D">
      <w:pPr>
        <w:jc w:val="both"/>
        <w:rPr>
          <w:b/>
          <w:szCs w:val="24"/>
        </w:rPr>
      </w:pPr>
      <w:r w:rsidRPr="00A12B5C">
        <w:rPr>
          <w:b/>
          <w:szCs w:val="24"/>
        </w:rPr>
        <w:t>6</w:t>
      </w:r>
      <w:r w:rsidRPr="00A12B5C">
        <w:rPr>
          <w:b/>
          <w:szCs w:val="24"/>
        </w:rPr>
        <w:tab/>
        <w:t>NETO NABAVKA NEFINANCIJSKE IMOVINE</w:t>
      </w:r>
    </w:p>
    <w:p w:rsidR="009554E4" w:rsidRPr="00A12B5C" w:rsidRDefault="009554E4" w:rsidP="00122F5D">
      <w:pPr>
        <w:pStyle w:val="Uvuenotijeloteksta"/>
        <w:spacing w:line="240" w:lineRule="auto"/>
        <w:ind w:firstLine="0"/>
      </w:pPr>
    </w:p>
    <w:p w:rsidR="00D43FCB" w:rsidRDefault="00D43FCB" w:rsidP="00D43FCB">
      <w:pPr>
        <w:pStyle w:val="Uvuenotijeloteksta"/>
        <w:spacing w:line="240" w:lineRule="auto"/>
        <w:ind w:firstLine="0"/>
      </w:pPr>
      <w:r>
        <w:t>Obzirom da su u 2019. godini primici od prodaje nefinancijske imovine iznosili 5.436 KM, dok je istovremeno na nabavku nefinancijske imovine utrošeno 1.108.166 KM, neto nabavka nefinancijske imovine Proračuna Županije Posavske za promatrano razdoblje iznosi                -1.102.730 KM.</w:t>
      </w:r>
    </w:p>
    <w:p w:rsidR="009554E4" w:rsidRPr="00A12B5C" w:rsidRDefault="009554E4" w:rsidP="00122F5D">
      <w:pPr>
        <w:pStyle w:val="Uvuenotijeloteksta"/>
        <w:spacing w:line="240" w:lineRule="auto"/>
        <w:ind w:firstLine="0"/>
        <w:rPr>
          <w:b/>
          <w:bCs/>
          <w:sz w:val="20"/>
          <w:szCs w:val="20"/>
        </w:rPr>
      </w:pPr>
    </w:p>
    <w:p w:rsidR="00890C24" w:rsidRPr="00A12B5C" w:rsidRDefault="00890C24" w:rsidP="00122F5D">
      <w:pPr>
        <w:widowControl/>
        <w:jc w:val="center"/>
        <w:rPr>
          <w:rFonts w:eastAsia="Times New Roman"/>
          <w:szCs w:val="24"/>
        </w:rPr>
      </w:pPr>
      <w:r w:rsidRPr="00A12B5C"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4161790" cy="1744133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90C24" w:rsidRPr="00A12B5C" w:rsidRDefault="00890C24" w:rsidP="00122F5D">
      <w:pPr>
        <w:pStyle w:val="Uvuenotijeloteksta"/>
        <w:spacing w:line="240" w:lineRule="auto"/>
        <w:ind w:firstLine="0"/>
        <w:rPr>
          <w:b/>
          <w:bCs/>
          <w:sz w:val="20"/>
          <w:szCs w:val="20"/>
        </w:rPr>
      </w:pPr>
    </w:p>
    <w:p w:rsidR="00CB1CE8" w:rsidRPr="00A12B5C" w:rsidRDefault="00CB1CE8" w:rsidP="009554E4">
      <w:pPr>
        <w:pStyle w:val="Uvuenotijeloteksta"/>
        <w:spacing w:line="240" w:lineRule="auto"/>
        <w:ind w:firstLine="0"/>
      </w:pPr>
    </w:p>
    <w:p w:rsidR="00AD0527" w:rsidRPr="00A12B5C" w:rsidRDefault="00AD0527" w:rsidP="009554E4">
      <w:pPr>
        <w:pStyle w:val="Uvuenotijeloteksta"/>
        <w:spacing w:line="240" w:lineRule="auto"/>
        <w:ind w:firstLine="0"/>
        <w:rPr>
          <w:sz w:val="12"/>
          <w:szCs w:val="12"/>
        </w:rPr>
      </w:pPr>
    </w:p>
    <w:p w:rsidR="00063C32" w:rsidRPr="00A12B5C" w:rsidRDefault="00063C32" w:rsidP="00122F5D">
      <w:pPr>
        <w:jc w:val="both"/>
        <w:rPr>
          <w:b/>
          <w:szCs w:val="24"/>
        </w:rPr>
      </w:pPr>
      <w:r w:rsidRPr="00A12B5C">
        <w:rPr>
          <w:b/>
          <w:szCs w:val="24"/>
        </w:rPr>
        <w:t>7</w:t>
      </w:r>
      <w:r w:rsidRPr="00A12B5C">
        <w:rPr>
          <w:b/>
          <w:szCs w:val="24"/>
        </w:rPr>
        <w:tab/>
        <w:t>UKUPAN SUFICIT/DEFICIT</w:t>
      </w:r>
    </w:p>
    <w:p w:rsidR="00063C32" w:rsidRPr="00A12B5C" w:rsidRDefault="00063C32" w:rsidP="00122F5D">
      <w:pPr>
        <w:pStyle w:val="Uvuenotijeloteksta"/>
        <w:spacing w:line="240" w:lineRule="auto"/>
        <w:ind w:firstLine="0"/>
      </w:pPr>
    </w:p>
    <w:p w:rsidR="00D43FCB" w:rsidRDefault="00D43FCB" w:rsidP="00D43FCB">
      <w:pPr>
        <w:pStyle w:val="Uvuenotijeloteksta"/>
        <w:spacing w:line="240" w:lineRule="auto"/>
        <w:ind w:firstLine="0"/>
      </w:pPr>
      <w:r>
        <w:t>U 2019. godini Proračun Županije Posavske je ostvario ukupan suficit (suma tekućeg suficita i neto nabavke nefinancijske imovine) u iznosu od 1.576.094 KM.</w:t>
      </w:r>
    </w:p>
    <w:p w:rsidR="00063C32" w:rsidRPr="00A12B5C" w:rsidRDefault="00063C32" w:rsidP="00122F5D">
      <w:pPr>
        <w:pStyle w:val="Uvuenotijeloteksta"/>
        <w:spacing w:line="240" w:lineRule="auto"/>
        <w:ind w:firstLine="0"/>
        <w:jc w:val="center"/>
      </w:pPr>
      <w:r w:rsidRPr="00A12B5C">
        <w:rPr>
          <w:noProof/>
          <w:lang w:eastAsia="hr-HR"/>
        </w:rPr>
        <w:drawing>
          <wp:inline distT="0" distB="0" distL="0" distR="0">
            <wp:extent cx="4852894" cy="1966259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63C32" w:rsidRPr="00A12B5C" w:rsidRDefault="00063C32" w:rsidP="00122F5D">
      <w:pPr>
        <w:pStyle w:val="Uvuenotijeloteksta"/>
        <w:spacing w:line="240" w:lineRule="auto"/>
        <w:ind w:firstLine="0"/>
        <w:jc w:val="center"/>
      </w:pPr>
    </w:p>
    <w:p w:rsidR="00063C32" w:rsidRPr="00A12B5C" w:rsidRDefault="00063C32" w:rsidP="00063C32">
      <w:pPr>
        <w:jc w:val="both"/>
        <w:rPr>
          <w:b/>
          <w:szCs w:val="24"/>
        </w:rPr>
      </w:pPr>
      <w:r w:rsidRPr="00A12B5C">
        <w:rPr>
          <w:b/>
          <w:szCs w:val="24"/>
        </w:rPr>
        <w:lastRenderedPageBreak/>
        <w:t>8</w:t>
      </w:r>
      <w:r w:rsidRPr="00A12B5C">
        <w:rPr>
          <w:b/>
          <w:szCs w:val="24"/>
        </w:rPr>
        <w:tab/>
        <w:t>PRIMICI OD FINANCIJSKE IMOVINE I ZADUŽIVANJA</w:t>
      </w:r>
    </w:p>
    <w:p w:rsidR="009554E4" w:rsidRPr="00A12B5C" w:rsidRDefault="009554E4" w:rsidP="009554E4"/>
    <w:p w:rsidR="009554E4" w:rsidRPr="00A12B5C" w:rsidRDefault="00063C32" w:rsidP="009554E4">
      <w:pPr>
        <w:pStyle w:val="Tijeloteksta"/>
        <w:spacing w:before="120"/>
        <w:jc w:val="both"/>
        <w:rPr>
          <w:lang w:val="hr-HR"/>
        </w:rPr>
      </w:pPr>
      <w:r w:rsidRPr="00A12B5C">
        <w:rPr>
          <w:lang w:val="hr-HR"/>
        </w:rPr>
        <w:t>U 201</w:t>
      </w:r>
      <w:r w:rsidR="00D43FCB">
        <w:rPr>
          <w:lang w:val="hr-HR"/>
        </w:rPr>
        <w:t>9</w:t>
      </w:r>
      <w:r w:rsidRPr="00A12B5C">
        <w:rPr>
          <w:lang w:val="hr-HR"/>
        </w:rPr>
        <w:t xml:space="preserve">. godine nisu planirani niti realizirani primici od financijske imovine i zaduživanja </w:t>
      </w:r>
      <w:r w:rsidR="009554E4" w:rsidRPr="00A12B5C">
        <w:rPr>
          <w:lang w:val="hr-HR"/>
        </w:rPr>
        <w:t>(potkategorij</w:t>
      </w:r>
      <w:r w:rsidRPr="00A12B5C">
        <w:rPr>
          <w:lang w:val="hr-HR"/>
        </w:rPr>
        <w:t xml:space="preserve">e </w:t>
      </w:r>
      <w:r w:rsidR="009554E4" w:rsidRPr="00A12B5C">
        <w:rPr>
          <w:lang w:val="hr-HR"/>
        </w:rPr>
        <w:t>8</w:t>
      </w:r>
      <w:r w:rsidRPr="00A12B5C">
        <w:rPr>
          <w:lang w:val="hr-HR"/>
        </w:rPr>
        <w:t>1</w:t>
      </w:r>
      <w:r w:rsidR="009554E4" w:rsidRPr="00A12B5C">
        <w:rPr>
          <w:lang w:val="hr-HR"/>
        </w:rPr>
        <w:t>3000</w:t>
      </w:r>
      <w:r w:rsidRPr="00A12B5C">
        <w:rPr>
          <w:lang w:val="hr-HR"/>
        </w:rPr>
        <w:t>, 814000 i 815000</w:t>
      </w:r>
      <w:r w:rsidR="009554E4" w:rsidRPr="00A12B5C">
        <w:rPr>
          <w:lang w:val="hr-HR"/>
        </w:rPr>
        <w:t>).</w:t>
      </w:r>
    </w:p>
    <w:p w:rsidR="00B372BD" w:rsidRPr="00A12B5C" w:rsidRDefault="00B372BD" w:rsidP="009554E4">
      <w:pPr>
        <w:widowControl/>
        <w:rPr>
          <w:b/>
          <w:bCs/>
          <w:i/>
        </w:rPr>
      </w:pPr>
    </w:p>
    <w:p w:rsidR="00B372BD" w:rsidRPr="00A12B5C" w:rsidRDefault="00B372BD" w:rsidP="009554E4">
      <w:pPr>
        <w:widowControl/>
        <w:rPr>
          <w:b/>
          <w:bCs/>
          <w:i/>
        </w:rPr>
      </w:pPr>
    </w:p>
    <w:p w:rsidR="00063C32" w:rsidRPr="00A12B5C" w:rsidRDefault="00063C32" w:rsidP="00063C32">
      <w:pPr>
        <w:jc w:val="both"/>
        <w:rPr>
          <w:b/>
          <w:szCs w:val="24"/>
        </w:rPr>
      </w:pPr>
      <w:r w:rsidRPr="00A12B5C">
        <w:rPr>
          <w:b/>
          <w:szCs w:val="24"/>
        </w:rPr>
        <w:t>9</w:t>
      </w:r>
      <w:r w:rsidRPr="00A12B5C">
        <w:rPr>
          <w:b/>
          <w:szCs w:val="24"/>
        </w:rPr>
        <w:tab/>
        <w:t>IZDACI ZA NABAVKU FINANCIJSKE IMOVINE I OTPLATE DUGOVA</w:t>
      </w:r>
    </w:p>
    <w:p w:rsidR="009554E4" w:rsidRPr="00A12B5C" w:rsidRDefault="009554E4" w:rsidP="009554E4">
      <w:pPr>
        <w:widowControl/>
        <w:rPr>
          <w:b/>
          <w:bCs/>
          <w:i/>
        </w:rPr>
      </w:pPr>
    </w:p>
    <w:p w:rsidR="00CB1CE8" w:rsidRPr="00A12B5C" w:rsidRDefault="00CB1CE8" w:rsidP="00CB1CE8">
      <w:pPr>
        <w:pStyle w:val="Tijeloteksta"/>
        <w:spacing w:before="120"/>
        <w:jc w:val="both"/>
        <w:rPr>
          <w:lang w:val="hr-HR"/>
        </w:rPr>
      </w:pPr>
      <w:r w:rsidRPr="00A12B5C">
        <w:rPr>
          <w:b/>
          <w:lang w:val="hr-HR"/>
        </w:rPr>
        <w:t>Izdaci za nabavku financijske imovine i otplate dugova (potkategorije 822000 i 823000)</w:t>
      </w:r>
      <w:r w:rsidRPr="00A12B5C">
        <w:rPr>
          <w:lang w:val="hr-HR"/>
        </w:rPr>
        <w:t xml:space="preserve"> ostvareni su u iznosu od </w:t>
      </w:r>
      <w:r w:rsidR="00D43FCB">
        <w:rPr>
          <w:lang w:val="hr-HR"/>
        </w:rPr>
        <w:t>591.016</w:t>
      </w:r>
      <w:r w:rsidRPr="00A12B5C">
        <w:rPr>
          <w:lang w:val="hr-HR"/>
        </w:rPr>
        <w:t xml:space="preserve"> KM i odnose se na otplate domaćeg pozajmljivanja za:</w:t>
      </w:r>
    </w:p>
    <w:p w:rsidR="00CB1CE8" w:rsidRPr="00A12B5C" w:rsidRDefault="00CB1CE8" w:rsidP="00CB1CE8">
      <w:pPr>
        <w:pStyle w:val="Tijeloteksta"/>
        <w:numPr>
          <w:ilvl w:val="0"/>
          <w:numId w:val="13"/>
        </w:numPr>
        <w:spacing w:before="120"/>
        <w:jc w:val="both"/>
        <w:rPr>
          <w:lang w:val="hr-HR"/>
        </w:rPr>
      </w:pPr>
      <w:r w:rsidRPr="00A12B5C">
        <w:rPr>
          <w:lang w:val="hr-HR"/>
        </w:rPr>
        <w:t xml:space="preserve">otplatu glavnice kredita OPEC fonda Ministarstva prosvjete, znanosti, kulture i športa u iznosu od </w:t>
      </w:r>
      <w:r w:rsidR="00D43FCB">
        <w:rPr>
          <w:lang w:val="hr-HR"/>
        </w:rPr>
        <w:t>71.318</w:t>
      </w:r>
      <w:r w:rsidRPr="00A12B5C">
        <w:rPr>
          <w:lang w:val="hr-HR"/>
        </w:rPr>
        <w:t xml:space="preserve"> KM,</w:t>
      </w:r>
      <w:r w:rsidR="00AE122F" w:rsidRPr="00AE122F">
        <w:t xml:space="preserve"> </w:t>
      </w:r>
      <w:proofErr w:type="spellStart"/>
      <w:r w:rsidR="00AE122F">
        <w:t>čime</w:t>
      </w:r>
      <w:proofErr w:type="spellEnd"/>
      <w:r w:rsidR="00AE122F">
        <w:t xml:space="preserve"> je </w:t>
      </w:r>
      <w:proofErr w:type="spellStart"/>
      <w:r w:rsidR="00AE122F">
        <w:t>ujedno</w:t>
      </w:r>
      <w:proofErr w:type="spellEnd"/>
      <w:r w:rsidR="00AE122F">
        <w:t xml:space="preserve"> </w:t>
      </w:r>
      <w:proofErr w:type="spellStart"/>
      <w:r w:rsidR="00AE122F">
        <w:t>i</w:t>
      </w:r>
      <w:proofErr w:type="spellEnd"/>
      <w:r w:rsidR="00AE122F">
        <w:t xml:space="preserve"> </w:t>
      </w:r>
      <w:proofErr w:type="spellStart"/>
      <w:r w:rsidR="00AE122F">
        <w:t>završena</w:t>
      </w:r>
      <w:proofErr w:type="spellEnd"/>
      <w:r w:rsidR="00AE122F">
        <w:t xml:space="preserve"> </w:t>
      </w:r>
      <w:proofErr w:type="spellStart"/>
      <w:r w:rsidR="00AE122F">
        <w:t>otplata</w:t>
      </w:r>
      <w:proofErr w:type="spellEnd"/>
      <w:r w:rsidR="00AE122F">
        <w:t xml:space="preserve"> </w:t>
      </w:r>
      <w:proofErr w:type="spellStart"/>
      <w:r w:rsidR="00AE122F">
        <w:t>navedenog</w:t>
      </w:r>
      <w:proofErr w:type="spellEnd"/>
      <w:r w:rsidR="00AE122F">
        <w:t xml:space="preserve"> </w:t>
      </w:r>
      <w:proofErr w:type="spellStart"/>
      <w:r w:rsidR="00AE122F">
        <w:t>kredita</w:t>
      </w:r>
      <w:proofErr w:type="spellEnd"/>
      <w:r w:rsidR="00AE122F">
        <w:t>,</w:t>
      </w:r>
    </w:p>
    <w:p w:rsidR="00CB1CE8" w:rsidRPr="00A12B5C" w:rsidRDefault="00CB1CE8" w:rsidP="00CB1CE8">
      <w:pPr>
        <w:pStyle w:val="Tijeloteksta"/>
        <w:numPr>
          <w:ilvl w:val="0"/>
          <w:numId w:val="13"/>
        </w:numPr>
        <w:spacing w:before="120"/>
        <w:jc w:val="both"/>
        <w:rPr>
          <w:lang w:val="hr-HR"/>
        </w:rPr>
      </w:pPr>
      <w:r w:rsidRPr="00A12B5C">
        <w:rPr>
          <w:lang w:val="hr-HR"/>
        </w:rPr>
        <w:t xml:space="preserve">otplatu glavnice kredita Export-Import banke Koreja za financiranje Faze II Projekta „Modernizacija bolnica u Bosni i Hercegovini“ u iznosu od </w:t>
      </w:r>
      <w:r w:rsidR="00D43FCB">
        <w:rPr>
          <w:lang w:val="hr-HR"/>
        </w:rPr>
        <w:t>89.415</w:t>
      </w:r>
      <w:r w:rsidRPr="00A12B5C">
        <w:rPr>
          <w:lang w:val="hr-HR"/>
        </w:rPr>
        <w:t xml:space="preserve"> KM, i</w:t>
      </w:r>
    </w:p>
    <w:p w:rsidR="00CB1CE8" w:rsidRPr="00A12B5C" w:rsidRDefault="00CB1CE8" w:rsidP="00CB1CE8">
      <w:pPr>
        <w:pStyle w:val="Tijeloteksta"/>
        <w:numPr>
          <w:ilvl w:val="0"/>
          <w:numId w:val="13"/>
        </w:numPr>
        <w:spacing w:before="120"/>
        <w:jc w:val="both"/>
        <w:rPr>
          <w:lang w:val="hr-HR"/>
        </w:rPr>
      </w:pPr>
      <w:r w:rsidRPr="00A12B5C">
        <w:rPr>
          <w:lang w:val="hr-HR"/>
        </w:rPr>
        <w:t>otplatu glavnice kredita UniCredit bank Austria AG za financiranje projekta nabave, instalacije, obuke i održavanja medicinske i nemedicinske opreme i usluga u Županijskoj bolnici Orašje u iznosu od 430.283 KM.</w:t>
      </w:r>
    </w:p>
    <w:p w:rsidR="00AE122F" w:rsidRPr="008D051E" w:rsidRDefault="00AE122F" w:rsidP="00AE122F">
      <w:pPr>
        <w:jc w:val="both"/>
      </w:pPr>
      <w:r w:rsidRPr="008D051E">
        <w:t xml:space="preserve">U odnosu na prethodnu godinu, izdaci za otplate dugova su </w:t>
      </w:r>
      <w:r>
        <w:t>veći</w:t>
      </w:r>
      <w:r w:rsidRPr="008D051E">
        <w:t xml:space="preserve"> za </w:t>
      </w:r>
      <w:r>
        <w:t>5.170</w:t>
      </w:r>
      <w:r w:rsidRPr="008D051E">
        <w:t xml:space="preserve"> KM</w:t>
      </w:r>
      <w:r>
        <w:t xml:space="preserve">, što je rezultat kretanja tečaja korejski </w:t>
      </w:r>
      <w:proofErr w:type="spellStart"/>
      <w:r>
        <w:t>won</w:t>
      </w:r>
      <w:proofErr w:type="spellEnd"/>
      <w:r>
        <w:t>-američki dolar-konvertibilna marka koji se koristi za izračun rate glavnice korejskog kredita.</w:t>
      </w:r>
    </w:p>
    <w:p w:rsidR="00200BDD" w:rsidRPr="00A12B5C" w:rsidRDefault="00200BDD" w:rsidP="00200BDD">
      <w:pPr>
        <w:pStyle w:val="Tijeloteksta"/>
        <w:spacing w:before="120"/>
        <w:jc w:val="both"/>
        <w:rPr>
          <w:lang w:val="hr-HR"/>
        </w:rPr>
      </w:pPr>
    </w:p>
    <w:p w:rsidR="00122F5D" w:rsidRPr="00A12B5C" w:rsidRDefault="00122F5D" w:rsidP="00122F5D">
      <w:pPr>
        <w:jc w:val="both"/>
        <w:rPr>
          <w:b/>
          <w:szCs w:val="24"/>
        </w:rPr>
      </w:pPr>
      <w:r w:rsidRPr="00A12B5C">
        <w:rPr>
          <w:b/>
          <w:szCs w:val="24"/>
        </w:rPr>
        <w:t>10</w:t>
      </w:r>
      <w:r w:rsidRPr="00A12B5C">
        <w:rPr>
          <w:b/>
          <w:szCs w:val="24"/>
        </w:rPr>
        <w:tab/>
        <w:t>NETO FINANCIRANJE</w:t>
      </w:r>
    </w:p>
    <w:p w:rsidR="00122F5D" w:rsidRPr="00A12B5C" w:rsidRDefault="00122F5D" w:rsidP="00122F5D">
      <w:pPr>
        <w:pStyle w:val="Uvuenotijeloteksta"/>
        <w:spacing w:line="240" w:lineRule="auto"/>
        <w:ind w:firstLine="0"/>
      </w:pPr>
    </w:p>
    <w:p w:rsidR="00AE122F" w:rsidRDefault="00AE122F" w:rsidP="00AE122F">
      <w:pPr>
        <w:pStyle w:val="Uvuenotijeloteksta"/>
        <w:spacing w:line="240" w:lineRule="auto"/>
        <w:ind w:firstLine="0"/>
      </w:pPr>
      <w:r>
        <w:t>Obzirom da u 2019. godine nije bilo primitaka od financijske imovine i zaduživanja, dok je istovremeno na nabavku financijske imovine odnosno otplatu dugova utrošeno 591.016 KM, neto financiranje Proračuna Županije Posavske iznosi -591.016 KM.</w:t>
      </w:r>
    </w:p>
    <w:p w:rsidR="00122F5D" w:rsidRPr="00A12B5C" w:rsidRDefault="00122F5D" w:rsidP="00122F5D">
      <w:pPr>
        <w:pStyle w:val="Uvuenotijeloteksta"/>
        <w:spacing w:line="240" w:lineRule="auto"/>
        <w:ind w:firstLine="0"/>
        <w:jc w:val="center"/>
      </w:pPr>
      <w:r w:rsidRPr="00A12B5C">
        <w:rPr>
          <w:noProof/>
          <w:lang w:eastAsia="hr-HR"/>
        </w:rPr>
        <w:drawing>
          <wp:inline distT="0" distB="0" distL="0" distR="0">
            <wp:extent cx="4707255" cy="2010833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F215C" w:rsidRPr="00A12B5C" w:rsidRDefault="009F215C" w:rsidP="00122F5D">
      <w:pPr>
        <w:jc w:val="both"/>
        <w:rPr>
          <w:b/>
          <w:szCs w:val="24"/>
        </w:rPr>
      </w:pPr>
    </w:p>
    <w:p w:rsidR="00B372BD" w:rsidRPr="00A12B5C" w:rsidRDefault="00B372BD" w:rsidP="00122F5D">
      <w:pPr>
        <w:jc w:val="both"/>
        <w:rPr>
          <w:b/>
          <w:szCs w:val="24"/>
        </w:rPr>
      </w:pPr>
    </w:p>
    <w:p w:rsidR="00122F5D" w:rsidRPr="00A12B5C" w:rsidRDefault="00122F5D" w:rsidP="00122F5D">
      <w:pPr>
        <w:jc w:val="both"/>
        <w:rPr>
          <w:b/>
          <w:szCs w:val="24"/>
        </w:rPr>
      </w:pPr>
      <w:r w:rsidRPr="00A12B5C">
        <w:rPr>
          <w:b/>
          <w:szCs w:val="24"/>
        </w:rPr>
        <w:t>11</w:t>
      </w:r>
      <w:r w:rsidRPr="00A12B5C">
        <w:rPr>
          <w:b/>
          <w:szCs w:val="24"/>
        </w:rPr>
        <w:tab/>
        <w:t>UKUPAN FINANCIJSKI REZULTAT</w:t>
      </w:r>
    </w:p>
    <w:p w:rsidR="00122F5D" w:rsidRPr="00A12B5C" w:rsidRDefault="00122F5D" w:rsidP="00122F5D">
      <w:pPr>
        <w:pStyle w:val="Uvuenotijeloteksta"/>
        <w:spacing w:line="240" w:lineRule="auto"/>
        <w:ind w:firstLine="0"/>
      </w:pPr>
    </w:p>
    <w:p w:rsidR="00AE122F" w:rsidRPr="00F52A77" w:rsidRDefault="00AE122F" w:rsidP="00AE122F">
      <w:pPr>
        <w:pStyle w:val="Uvuenotijeloteksta"/>
        <w:spacing w:line="240" w:lineRule="auto"/>
        <w:ind w:firstLine="0"/>
      </w:pPr>
      <w:r w:rsidRPr="00F52A77">
        <w:t xml:space="preserve">Ukupan financijski rezultat Proračuna Županije Posavske </w:t>
      </w:r>
      <w:r>
        <w:t xml:space="preserve">(zbroj ukupnog suficita i neto financiranja) </w:t>
      </w:r>
      <w:r w:rsidRPr="00F52A77">
        <w:t>za 201</w:t>
      </w:r>
      <w:r>
        <w:t>9</w:t>
      </w:r>
      <w:r w:rsidRPr="00F52A77">
        <w:t xml:space="preserve">. godine je pozitivan i iznosi </w:t>
      </w:r>
      <w:r>
        <w:t>985.078</w:t>
      </w:r>
      <w:r w:rsidRPr="00F52A77">
        <w:t xml:space="preserve"> KM.</w:t>
      </w:r>
    </w:p>
    <w:p w:rsidR="00122F5D" w:rsidRPr="00A12B5C" w:rsidRDefault="00122F5D" w:rsidP="00122F5D">
      <w:pPr>
        <w:pStyle w:val="Uvuenotijeloteksta"/>
        <w:spacing w:line="240" w:lineRule="auto"/>
        <w:ind w:firstLine="0"/>
      </w:pPr>
    </w:p>
    <w:p w:rsidR="00122F5D" w:rsidRPr="00A12B5C" w:rsidRDefault="00122F5D" w:rsidP="00122F5D">
      <w:pPr>
        <w:pStyle w:val="Uvuenotijeloteksta"/>
        <w:spacing w:line="240" w:lineRule="auto"/>
        <w:ind w:firstLine="0"/>
        <w:jc w:val="center"/>
      </w:pPr>
      <w:r w:rsidRPr="00A12B5C">
        <w:rPr>
          <w:noProof/>
          <w:lang w:eastAsia="hr-HR"/>
        </w:rPr>
        <w:lastRenderedPageBreak/>
        <w:drawing>
          <wp:inline distT="0" distB="0" distL="0" distR="0">
            <wp:extent cx="5278755" cy="23368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17290" w:rsidRDefault="00D17290" w:rsidP="002B6584">
      <w:pPr>
        <w:jc w:val="both"/>
        <w:rPr>
          <w:b/>
          <w:szCs w:val="24"/>
        </w:rPr>
      </w:pPr>
    </w:p>
    <w:p w:rsidR="00D17290" w:rsidRDefault="00D17290" w:rsidP="002B6584">
      <w:pPr>
        <w:jc w:val="both"/>
        <w:rPr>
          <w:b/>
          <w:szCs w:val="24"/>
        </w:rPr>
      </w:pPr>
    </w:p>
    <w:p w:rsidR="002B6584" w:rsidRPr="00A12B5C" w:rsidRDefault="002B6584" w:rsidP="002B6584">
      <w:pPr>
        <w:jc w:val="both"/>
        <w:rPr>
          <w:b/>
          <w:szCs w:val="24"/>
        </w:rPr>
      </w:pPr>
      <w:r w:rsidRPr="00A12B5C">
        <w:rPr>
          <w:b/>
          <w:szCs w:val="24"/>
        </w:rPr>
        <w:t>12</w:t>
      </w:r>
      <w:r w:rsidRPr="00A12B5C">
        <w:rPr>
          <w:b/>
          <w:szCs w:val="24"/>
        </w:rPr>
        <w:tab/>
        <w:t>JEDINSTVENI RAČUN RIZNICE</w:t>
      </w:r>
    </w:p>
    <w:p w:rsidR="002B6584" w:rsidRPr="00A12B5C" w:rsidRDefault="002B6584" w:rsidP="00FA39C0">
      <w:pPr>
        <w:widowControl/>
      </w:pPr>
    </w:p>
    <w:p w:rsidR="002B6584" w:rsidRPr="00A12B5C" w:rsidRDefault="002B6584" w:rsidP="003E36BF">
      <w:pPr>
        <w:widowControl/>
        <w:jc w:val="both"/>
        <w:rPr>
          <w:szCs w:val="24"/>
        </w:rPr>
      </w:pPr>
      <w:r w:rsidRPr="00A12B5C">
        <w:t xml:space="preserve">Stanje Jedinstvenog računa Riznice (JRR) na dan </w:t>
      </w:r>
      <w:r w:rsidR="003E36BF" w:rsidRPr="00A12B5C">
        <w:t>01</w:t>
      </w:r>
      <w:r w:rsidRPr="00A12B5C">
        <w:t>.</w:t>
      </w:r>
      <w:r w:rsidR="003E36BF" w:rsidRPr="00A12B5C">
        <w:t>01</w:t>
      </w:r>
      <w:r w:rsidRPr="00A12B5C">
        <w:t>.201</w:t>
      </w:r>
      <w:r w:rsidR="00DF1CB0">
        <w:t>9</w:t>
      </w:r>
      <w:r w:rsidRPr="00A12B5C">
        <w:t>. godine</w:t>
      </w:r>
      <w:r w:rsidR="003E36BF" w:rsidRPr="00A12B5C">
        <w:t xml:space="preserve"> (početno stanje)</w:t>
      </w:r>
      <w:r w:rsidRPr="00A12B5C">
        <w:t xml:space="preserve"> iznosilo je </w:t>
      </w:r>
      <w:r w:rsidR="00DF1CB0" w:rsidRPr="00A12B5C">
        <w:rPr>
          <w:szCs w:val="24"/>
        </w:rPr>
        <w:t>5.777.643,13 KM</w:t>
      </w:r>
      <w:r w:rsidRPr="00A12B5C">
        <w:t xml:space="preserve">, dok </w:t>
      </w:r>
      <w:r w:rsidRPr="00A12B5C">
        <w:rPr>
          <w:szCs w:val="24"/>
        </w:rPr>
        <w:t>stanje na dan 31.12.201</w:t>
      </w:r>
      <w:r w:rsidR="00DF1CB0">
        <w:rPr>
          <w:szCs w:val="24"/>
        </w:rPr>
        <w:t>9</w:t>
      </w:r>
      <w:r w:rsidRPr="00A12B5C">
        <w:rPr>
          <w:szCs w:val="24"/>
        </w:rPr>
        <w:t xml:space="preserve">. godine iznosi </w:t>
      </w:r>
      <w:r w:rsidR="00DF1CB0">
        <w:rPr>
          <w:szCs w:val="24"/>
        </w:rPr>
        <w:t>8.382.311,40</w:t>
      </w:r>
      <w:r w:rsidR="002A0B98" w:rsidRPr="00A12B5C">
        <w:rPr>
          <w:szCs w:val="24"/>
        </w:rPr>
        <w:t xml:space="preserve"> </w:t>
      </w:r>
      <w:r w:rsidRPr="00A12B5C">
        <w:rPr>
          <w:szCs w:val="24"/>
        </w:rPr>
        <w:t>KM i sastoji se od:</w:t>
      </w:r>
    </w:p>
    <w:p w:rsidR="00FB1527" w:rsidRDefault="00FB1527" w:rsidP="00FA39C0">
      <w:pPr>
        <w:widowControl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3547"/>
        <w:gridCol w:w="1985"/>
        <w:gridCol w:w="1984"/>
        <w:gridCol w:w="1242"/>
      </w:tblGrid>
      <w:tr w:rsidR="00DF1CB0" w:rsidRPr="00DF1CB0" w:rsidTr="00DF1CB0">
        <w:tc>
          <w:tcPr>
            <w:tcW w:w="530" w:type="dxa"/>
            <w:vAlign w:val="center"/>
          </w:tcPr>
          <w:p w:rsidR="00DF1CB0" w:rsidRPr="00DF1CB0" w:rsidRDefault="00DF1CB0" w:rsidP="00B029DB">
            <w:pPr>
              <w:jc w:val="both"/>
              <w:rPr>
                <w:b/>
                <w:color w:val="000000" w:themeColor="text1"/>
                <w:sz w:val="22"/>
              </w:rPr>
            </w:pPr>
            <w:r w:rsidRPr="00DF1CB0">
              <w:rPr>
                <w:b/>
                <w:color w:val="000000" w:themeColor="text1"/>
                <w:sz w:val="22"/>
              </w:rPr>
              <w:t>RB</w:t>
            </w:r>
          </w:p>
        </w:tc>
        <w:tc>
          <w:tcPr>
            <w:tcW w:w="3547" w:type="dxa"/>
            <w:vAlign w:val="center"/>
          </w:tcPr>
          <w:p w:rsidR="00DF1CB0" w:rsidRPr="00DF1CB0" w:rsidRDefault="00DF1CB0" w:rsidP="00B029DB">
            <w:pPr>
              <w:pStyle w:val="Naslov5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DF1CB0">
              <w:rPr>
                <w:rFonts w:ascii="Times New Roman" w:hAnsi="Times New Roman"/>
                <w:b/>
                <w:color w:val="000000" w:themeColor="text1"/>
                <w:sz w:val="22"/>
              </w:rPr>
              <w:t>Vrsta računa</w:t>
            </w:r>
          </w:p>
        </w:tc>
        <w:tc>
          <w:tcPr>
            <w:tcW w:w="1985" w:type="dxa"/>
            <w:vAlign w:val="center"/>
          </w:tcPr>
          <w:p w:rsidR="00DF1CB0" w:rsidRPr="00DF1CB0" w:rsidRDefault="00DF1CB0" w:rsidP="00B029DB">
            <w:pPr>
              <w:jc w:val="center"/>
              <w:rPr>
                <w:b/>
                <w:color w:val="000000" w:themeColor="text1"/>
                <w:sz w:val="22"/>
              </w:rPr>
            </w:pPr>
            <w:r w:rsidRPr="00DF1CB0">
              <w:rPr>
                <w:b/>
                <w:color w:val="000000" w:themeColor="text1"/>
                <w:sz w:val="22"/>
              </w:rPr>
              <w:t>Stvarno stanje po izvodima na dan 31.12.2019.g.</w:t>
            </w:r>
          </w:p>
        </w:tc>
        <w:tc>
          <w:tcPr>
            <w:tcW w:w="1984" w:type="dxa"/>
            <w:vAlign w:val="center"/>
          </w:tcPr>
          <w:p w:rsidR="00DF1CB0" w:rsidRPr="00DF1CB0" w:rsidRDefault="00DF1CB0" w:rsidP="00B029DB">
            <w:pPr>
              <w:jc w:val="center"/>
              <w:rPr>
                <w:b/>
                <w:color w:val="000000" w:themeColor="text1"/>
                <w:sz w:val="22"/>
              </w:rPr>
            </w:pPr>
            <w:r w:rsidRPr="00DF1CB0">
              <w:rPr>
                <w:b/>
                <w:color w:val="000000" w:themeColor="text1"/>
                <w:sz w:val="22"/>
              </w:rPr>
              <w:t>Knjigovodstveno stanje na dan 31.12.2019.g</w:t>
            </w:r>
          </w:p>
        </w:tc>
        <w:tc>
          <w:tcPr>
            <w:tcW w:w="1242" w:type="dxa"/>
            <w:vAlign w:val="center"/>
          </w:tcPr>
          <w:p w:rsidR="00DF1CB0" w:rsidRPr="00DF1CB0" w:rsidRDefault="00DF1CB0" w:rsidP="00B029DB">
            <w:pPr>
              <w:jc w:val="center"/>
              <w:rPr>
                <w:b/>
                <w:color w:val="000000" w:themeColor="text1"/>
                <w:sz w:val="22"/>
              </w:rPr>
            </w:pPr>
            <w:r w:rsidRPr="00DF1CB0">
              <w:rPr>
                <w:b/>
                <w:color w:val="000000" w:themeColor="text1"/>
                <w:sz w:val="22"/>
              </w:rPr>
              <w:t>Razlika</w:t>
            </w:r>
          </w:p>
        </w:tc>
      </w:tr>
      <w:tr w:rsidR="00DF1CB0" w:rsidRPr="00DF1CB0" w:rsidTr="00DF1CB0">
        <w:tc>
          <w:tcPr>
            <w:tcW w:w="530" w:type="dxa"/>
          </w:tcPr>
          <w:p w:rsidR="00DF1CB0" w:rsidRPr="00DF1CB0" w:rsidRDefault="00DF1CB0" w:rsidP="00B029DB">
            <w:pPr>
              <w:jc w:val="both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1.</w:t>
            </w:r>
          </w:p>
        </w:tc>
        <w:tc>
          <w:tcPr>
            <w:tcW w:w="3547" w:type="dxa"/>
          </w:tcPr>
          <w:p w:rsidR="00DF1CB0" w:rsidRPr="00DF1CB0" w:rsidRDefault="00DF1CB0" w:rsidP="00B029DB">
            <w:pPr>
              <w:jc w:val="both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Depozitni račun</w:t>
            </w:r>
          </w:p>
        </w:tc>
        <w:tc>
          <w:tcPr>
            <w:tcW w:w="1985" w:type="dxa"/>
          </w:tcPr>
          <w:p w:rsidR="00DF1CB0" w:rsidRPr="00DF1CB0" w:rsidRDefault="00DF1CB0" w:rsidP="00B029DB">
            <w:pPr>
              <w:jc w:val="right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0,00</w:t>
            </w:r>
          </w:p>
        </w:tc>
        <w:tc>
          <w:tcPr>
            <w:tcW w:w="1984" w:type="dxa"/>
          </w:tcPr>
          <w:p w:rsidR="00DF1CB0" w:rsidRPr="00DF1CB0" w:rsidRDefault="00DF1CB0" w:rsidP="00B029DB">
            <w:pPr>
              <w:jc w:val="right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0,00</w:t>
            </w:r>
          </w:p>
        </w:tc>
        <w:tc>
          <w:tcPr>
            <w:tcW w:w="1242" w:type="dxa"/>
          </w:tcPr>
          <w:p w:rsidR="00DF1CB0" w:rsidRPr="00DF1CB0" w:rsidRDefault="00DF1CB0" w:rsidP="00B029DB">
            <w:pPr>
              <w:jc w:val="right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0,00</w:t>
            </w:r>
          </w:p>
        </w:tc>
      </w:tr>
      <w:tr w:rsidR="00DF1CB0" w:rsidRPr="00DF1CB0" w:rsidTr="00DF1CB0">
        <w:tc>
          <w:tcPr>
            <w:tcW w:w="530" w:type="dxa"/>
          </w:tcPr>
          <w:p w:rsidR="00DF1CB0" w:rsidRPr="00DF1CB0" w:rsidRDefault="00DF1CB0" w:rsidP="00B029DB">
            <w:pPr>
              <w:jc w:val="both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2.</w:t>
            </w:r>
          </w:p>
        </w:tc>
        <w:tc>
          <w:tcPr>
            <w:tcW w:w="3547" w:type="dxa"/>
          </w:tcPr>
          <w:p w:rsidR="00DF1CB0" w:rsidRPr="00DF1CB0" w:rsidRDefault="00DF1CB0" w:rsidP="00B029DB">
            <w:pPr>
              <w:jc w:val="both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Transakcijski računi</w:t>
            </w:r>
          </w:p>
        </w:tc>
        <w:tc>
          <w:tcPr>
            <w:tcW w:w="1985" w:type="dxa"/>
          </w:tcPr>
          <w:p w:rsidR="00DF1CB0" w:rsidRPr="00DF1CB0" w:rsidRDefault="00DF1CB0" w:rsidP="00B029DB">
            <w:pPr>
              <w:jc w:val="right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7.356.378,57</w:t>
            </w:r>
          </w:p>
        </w:tc>
        <w:tc>
          <w:tcPr>
            <w:tcW w:w="1984" w:type="dxa"/>
          </w:tcPr>
          <w:p w:rsidR="00DF1CB0" w:rsidRPr="00DF1CB0" w:rsidRDefault="00DF1CB0" w:rsidP="00B029DB">
            <w:pPr>
              <w:jc w:val="right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7.356.378,57</w:t>
            </w:r>
          </w:p>
        </w:tc>
        <w:tc>
          <w:tcPr>
            <w:tcW w:w="1242" w:type="dxa"/>
          </w:tcPr>
          <w:p w:rsidR="00DF1CB0" w:rsidRPr="00DF1CB0" w:rsidRDefault="00DF1CB0" w:rsidP="00B029DB">
            <w:pPr>
              <w:jc w:val="right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0,00</w:t>
            </w:r>
          </w:p>
        </w:tc>
      </w:tr>
      <w:tr w:rsidR="00DF1CB0" w:rsidRPr="00DF1CB0" w:rsidTr="00DF1CB0">
        <w:tc>
          <w:tcPr>
            <w:tcW w:w="530" w:type="dxa"/>
          </w:tcPr>
          <w:p w:rsidR="00DF1CB0" w:rsidRPr="00DF1CB0" w:rsidRDefault="00DF1CB0" w:rsidP="00B029DB">
            <w:pPr>
              <w:jc w:val="both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3.</w:t>
            </w:r>
          </w:p>
        </w:tc>
        <w:tc>
          <w:tcPr>
            <w:tcW w:w="3547" w:type="dxa"/>
          </w:tcPr>
          <w:p w:rsidR="00DF1CB0" w:rsidRPr="00DF1CB0" w:rsidRDefault="00DF1CB0" w:rsidP="00B029DB">
            <w:pPr>
              <w:jc w:val="both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Devizni računi</w:t>
            </w:r>
          </w:p>
        </w:tc>
        <w:tc>
          <w:tcPr>
            <w:tcW w:w="1985" w:type="dxa"/>
          </w:tcPr>
          <w:p w:rsidR="00DF1CB0" w:rsidRPr="00DF1CB0" w:rsidRDefault="00DF1CB0" w:rsidP="00B029DB">
            <w:pPr>
              <w:jc w:val="right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31.649,03</w:t>
            </w:r>
          </w:p>
        </w:tc>
        <w:tc>
          <w:tcPr>
            <w:tcW w:w="1984" w:type="dxa"/>
          </w:tcPr>
          <w:p w:rsidR="00DF1CB0" w:rsidRPr="00DF1CB0" w:rsidRDefault="00DF1CB0" w:rsidP="00B029DB">
            <w:pPr>
              <w:jc w:val="right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31.649,03</w:t>
            </w:r>
          </w:p>
        </w:tc>
        <w:tc>
          <w:tcPr>
            <w:tcW w:w="1242" w:type="dxa"/>
          </w:tcPr>
          <w:p w:rsidR="00DF1CB0" w:rsidRPr="00DF1CB0" w:rsidRDefault="00DF1CB0" w:rsidP="00B029DB">
            <w:pPr>
              <w:jc w:val="right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0,00</w:t>
            </w:r>
          </w:p>
        </w:tc>
      </w:tr>
      <w:tr w:rsidR="00DF1CB0" w:rsidRPr="00DF1CB0" w:rsidTr="00DF1CB0">
        <w:tc>
          <w:tcPr>
            <w:tcW w:w="530" w:type="dxa"/>
          </w:tcPr>
          <w:p w:rsidR="00DF1CB0" w:rsidRPr="00DF1CB0" w:rsidRDefault="00DF1CB0" w:rsidP="00B029DB">
            <w:pPr>
              <w:jc w:val="both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4.</w:t>
            </w:r>
          </w:p>
        </w:tc>
        <w:tc>
          <w:tcPr>
            <w:tcW w:w="3547" w:type="dxa"/>
          </w:tcPr>
          <w:p w:rsidR="00DF1CB0" w:rsidRPr="00DF1CB0" w:rsidRDefault="00DF1CB0" w:rsidP="00B029DB">
            <w:pPr>
              <w:jc w:val="both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Posebni transakcijski računi</w:t>
            </w:r>
          </w:p>
        </w:tc>
        <w:tc>
          <w:tcPr>
            <w:tcW w:w="1985" w:type="dxa"/>
          </w:tcPr>
          <w:p w:rsidR="00DF1CB0" w:rsidRPr="00DF1CB0" w:rsidRDefault="00DF1CB0" w:rsidP="00B029DB">
            <w:pPr>
              <w:jc w:val="right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178.190,20</w:t>
            </w:r>
          </w:p>
        </w:tc>
        <w:tc>
          <w:tcPr>
            <w:tcW w:w="1984" w:type="dxa"/>
          </w:tcPr>
          <w:p w:rsidR="00DF1CB0" w:rsidRPr="00DF1CB0" w:rsidRDefault="00DF1CB0" w:rsidP="00B029DB">
            <w:pPr>
              <w:jc w:val="right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178.190,20</w:t>
            </w:r>
          </w:p>
        </w:tc>
        <w:tc>
          <w:tcPr>
            <w:tcW w:w="1242" w:type="dxa"/>
          </w:tcPr>
          <w:p w:rsidR="00DF1CB0" w:rsidRPr="00DF1CB0" w:rsidRDefault="00DF1CB0" w:rsidP="00B029DB">
            <w:pPr>
              <w:jc w:val="right"/>
              <w:rPr>
                <w:bCs/>
                <w:sz w:val="22"/>
              </w:rPr>
            </w:pPr>
            <w:r w:rsidRPr="00DF1CB0">
              <w:rPr>
                <w:bCs/>
                <w:sz w:val="22"/>
              </w:rPr>
              <w:t>0,00</w:t>
            </w:r>
          </w:p>
        </w:tc>
      </w:tr>
      <w:tr w:rsidR="00DF1CB0" w:rsidRPr="00DF1CB0" w:rsidTr="00DF1CB0">
        <w:tc>
          <w:tcPr>
            <w:tcW w:w="530" w:type="dxa"/>
          </w:tcPr>
          <w:p w:rsidR="00DF1CB0" w:rsidRPr="00DF1CB0" w:rsidRDefault="00DF1CB0" w:rsidP="00B029DB">
            <w:pPr>
              <w:jc w:val="both"/>
              <w:rPr>
                <w:sz w:val="22"/>
              </w:rPr>
            </w:pPr>
            <w:r w:rsidRPr="00DF1CB0">
              <w:rPr>
                <w:sz w:val="22"/>
              </w:rPr>
              <w:t>5.</w:t>
            </w:r>
          </w:p>
        </w:tc>
        <w:tc>
          <w:tcPr>
            <w:tcW w:w="3547" w:type="dxa"/>
          </w:tcPr>
          <w:p w:rsidR="00DF1CB0" w:rsidRPr="00DF1CB0" w:rsidRDefault="00DF1CB0" w:rsidP="00B029DB">
            <w:pPr>
              <w:jc w:val="both"/>
              <w:rPr>
                <w:sz w:val="22"/>
              </w:rPr>
            </w:pPr>
            <w:proofErr w:type="spellStart"/>
            <w:r w:rsidRPr="00DF1CB0">
              <w:rPr>
                <w:sz w:val="22"/>
              </w:rPr>
              <w:t>Podračuni</w:t>
            </w:r>
            <w:proofErr w:type="spellEnd"/>
            <w:r w:rsidRPr="00DF1CB0">
              <w:rPr>
                <w:sz w:val="22"/>
              </w:rPr>
              <w:t xml:space="preserve"> korisnika</w:t>
            </w:r>
          </w:p>
        </w:tc>
        <w:tc>
          <w:tcPr>
            <w:tcW w:w="1985" w:type="dxa"/>
          </w:tcPr>
          <w:p w:rsidR="00DF1CB0" w:rsidRPr="00DF1CB0" w:rsidRDefault="00DF1CB0" w:rsidP="00B029DB">
            <w:pPr>
              <w:jc w:val="right"/>
              <w:rPr>
                <w:sz w:val="22"/>
              </w:rPr>
            </w:pPr>
            <w:r w:rsidRPr="00DF1CB0">
              <w:rPr>
                <w:sz w:val="22"/>
              </w:rPr>
              <w:t>812.927,55</w:t>
            </w:r>
          </w:p>
        </w:tc>
        <w:tc>
          <w:tcPr>
            <w:tcW w:w="1984" w:type="dxa"/>
          </w:tcPr>
          <w:p w:rsidR="00DF1CB0" w:rsidRPr="00DF1CB0" w:rsidRDefault="00DF1CB0" w:rsidP="00B029DB">
            <w:pPr>
              <w:jc w:val="right"/>
              <w:rPr>
                <w:sz w:val="22"/>
              </w:rPr>
            </w:pPr>
            <w:r w:rsidRPr="00DF1CB0">
              <w:rPr>
                <w:sz w:val="22"/>
              </w:rPr>
              <w:t>812.927,55</w:t>
            </w:r>
          </w:p>
        </w:tc>
        <w:tc>
          <w:tcPr>
            <w:tcW w:w="1242" w:type="dxa"/>
          </w:tcPr>
          <w:p w:rsidR="00DF1CB0" w:rsidRPr="00DF1CB0" w:rsidRDefault="00DF1CB0" w:rsidP="00B029DB">
            <w:pPr>
              <w:jc w:val="right"/>
              <w:rPr>
                <w:sz w:val="22"/>
              </w:rPr>
            </w:pPr>
            <w:r w:rsidRPr="00DF1CB0">
              <w:rPr>
                <w:sz w:val="22"/>
              </w:rPr>
              <w:t>0,00</w:t>
            </w:r>
          </w:p>
        </w:tc>
      </w:tr>
      <w:tr w:rsidR="00DF1CB0" w:rsidRPr="00DF1CB0" w:rsidTr="00DF1CB0">
        <w:tc>
          <w:tcPr>
            <w:tcW w:w="530" w:type="dxa"/>
          </w:tcPr>
          <w:p w:rsidR="00DF1CB0" w:rsidRPr="00DF1CB0" w:rsidRDefault="00DF1CB0" w:rsidP="00B029DB">
            <w:pPr>
              <w:jc w:val="both"/>
              <w:rPr>
                <w:b/>
                <w:sz w:val="22"/>
              </w:rPr>
            </w:pPr>
          </w:p>
        </w:tc>
        <w:tc>
          <w:tcPr>
            <w:tcW w:w="3547" w:type="dxa"/>
          </w:tcPr>
          <w:p w:rsidR="00DF1CB0" w:rsidRPr="00DF1CB0" w:rsidRDefault="00DF1CB0" w:rsidP="00B029DB">
            <w:pPr>
              <w:jc w:val="both"/>
              <w:rPr>
                <w:b/>
                <w:sz w:val="22"/>
              </w:rPr>
            </w:pPr>
            <w:r w:rsidRPr="00DF1CB0">
              <w:rPr>
                <w:b/>
                <w:sz w:val="22"/>
              </w:rPr>
              <w:t>UKUPNO:</w:t>
            </w:r>
          </w:p>
        </w:tc>
        <w:tc>
          <w:tcPr>
            <w:tcW w:w="1985" w:type="dxa"/>
          </w:tcPr>
          <w:p w:rsidR="00DF1CB0" w:rsidRPr="00DF1CB0" w:rsidRDefault="00F2547B" w:rsidP="00B029D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DF1CB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DF1CB0">
              <w:rPr>
                <w:b/>
                <w:noProof/>
                <w:sz w:val="22"/>
              </w:rPr>
              <w:t>8.379.145,35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984" w:type="dxa"/>
          </w:tcPr>
          <w:p w:rsidR="00DF1CB0" w:rsidRPr="00DF1CB0" w:rsidRDefault="00F2547B" w:rsidP="00B029D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DF1CB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DF1CB0">
              <w:rPr>
                <w:b/>
                <w:noProof/>
                <w:sz w:val="22"/>
              </w:rPr>
              <w:t>8.379.145,35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</w:tcPr>
          <w:p w:rsidR="00DF1CB0" w:rsidRPr="00DF1CB0" w:rsidRDefault="00DF1CB0" w:rsidP="00B029D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</w:tbl>
    <w:p w:rsidR="00DF1CB0" w:rsidRDefault="00DF1CB0" w:rsidP="00FA39C0">
      <w:pPr>
        <w:widowControl/>
        <w:rPr>
          <w:szCs w:val="24"/>
        </w:rPr>
      </w:pPr>
    </w:p>
    <w:p w:rsidR="00DF1CB0" w:rsidRPr="00A12B5C" w:rsidRDefault="00DF1CB0" w:rsidP="00FA39C0">
      <w:pPr>
        <w:widowControl/>
        <w:rPr>
          <w:szCs w:val="24"/>
        </w:rPr>
      </w:pPr>
    </w:p>
    <w:p w:rsidR="00FB1527" w:rsidRPr="00A12B5C" w:rsidRDefault="00FB1527" w:rsidP="00FB1527">
      <w:pPr>
        <w:jc w:val="both"/>
        <w:rPr>
          <w:b/>
          <w:szCs w:val="24"/>
        </w:rPr>
      </w:pPr>
      <w:r w:rsidRPr="00A12B5C">
        <w:rPr>
          <w:b/>
          <w:szCs w:val="24"/>
        </w:rPr>
        <w:t>13</w:t>
      </w:r>
      <w:r w:rsidRPr="00A12B5C">
        <w:rPr>
          <w:b/>
          <w:szCs w:val="24"/>
        </w:rPr>
        <w:tab/>
        <w:t>IMOVINA, OBVEZE I IZVORI VLASNIŠTVA</w:t>
      </w:r>
    </w:p>
    <w:p w:rsidR="00FB1527" w:rsidRPr="00A12B5C" w:rsidRDefault="00FB1527" w:rsidP="00FA39C0">
      <w:pPr>
        <w:widowControl/>
        <w:rPr>
          <w:szCs w:val="24"/>
        </w:rPr>
      </w:pPr>
    </w:p>
    <w:p w:rsidR="00FB1527" w:rsidRPr="00A12B5C" w:rsidRDefault="00FB1527" w:rsidP="00FA39C0">
      <w:pPr>
        <w:widowControl/>
        <w:rPr>
          <w:b/>
          <w:szCs w:val="24"/>
        </w:rPr>
      </w:pPr>
      <w:r w:rsidRPr="00A12B5C">
        <w:rPr>
          <w:b/>
          <w:szCs w:val="24"/>
        </w:rPr>
        <w:t>13.1.</w:t>
      </w:r>
      <w:r w:rsidRPr="00A12B5C">
        <w:rPr>
          <w:b/>
          <w:szCs w:val="24"/>
        </w:rPr>
        <w:tab/>
        <w:t>IMOVINA</w:t>
      </w:r>
    </w:p>
    <w:p w:rsidR="00FB1527" w:rsidRPr="00D17290" w:rsidRDefault="00FB1527" w:rsidP="00FA39C0">
      <w:pPr>
        <w:widowControl/>
        <w:rPr>
          <w:sz w:val="16"/>
          <w:szCs w:val="16"/>
        </w:rPr>
      </w:pPr>
    </w:p>
    <w:p w:rsidR="00FB1527" w:rsidRPr="00A12B5C" w:rsidRDefault="00FB1527" w:rsidP="00BF53CD">
      <w:pPr>
        <w:jc w:val="both"/>
      </w:pPr>
      <w:r w:rsidRPr="00A12B5C">
        <w:t>Početno stanje imovine Županije Posavske na dan 01.01.201</w:t>
      </w:r>
      <w:r w:rsidR="00DF1CB0">
        <w:t>9</w:t>
      </w:r>
      <w:r w:rsidRPr="00A12B5C">
        <w:t xml:space="preserve">. godine iznosilo je </w:t>
      </w:r>
      <w:r w:rsidR="00DF1CB0" w:rsidRPr="00A12B5C">
        <w:t>43.769.642,48 KM</w:t>
      </w:r>
      <w:r w:rsidRPr="00A12B5C">
        <w:t>, a završno stanje iznosi</w:t>
      </w:r>
      <w:r w:rsidR="003B1B4E" w:rsidRPr="00A12B5C">
        <w:t xml:space="preserve"> </w:t>
      </w:r>
      <w:r w:rsidR="009C386F" w:rsidRPr="00A12B5C">
        <w:t>43.</w:t>
      </w:r>
      <w:r w:rsidR="00DF1CB0">
        <w:t>636</w:t>
      </w:r>
      <w:r w:rsidR="009C386F" w:rsidRPr="00A12B5C">
        <w:t>.</w:t>
      </w:r>
      <w:r w:rsidR="00DF1CB0">
        <w:t>011</w:t>
      </w:r>
      <w:r w:rsidR="009C386F" w:rsidRPr="00A12B5C">
        <w:t>,</w:t>
      </w:r>
      <w:r w:rsidR="00DF1CB0">
        <w:t>03</w:t>
      </w:r>
      <w:r w:rsidR="003B1B4E" w:rsidRPr="00A12B5C">
        <w:t xml:space="preserve"> </w:t>
      </w:r>
      <w:r w:rsidRPr="00A12B5C">
        <w:t xml:space="preserve">KM. Ukupna imovina proračunskih korisnika </w:t>
      </w:r>
      <w:r w:rsidR="00DF1CB0">
        <w:t>smanjena</w:t>
      </w:r>
      <w:r w:rsidRPr="00A12B5C">
        <w:t xml:space="preserve"> je u </w:t>
      </w:r>
      <w:r w:rsidR="00DB1D5D" w:rsidRPr="00A12B5C">
        <w:t>201</w:t>
      </w:r>
      <w:r w:rsidR="00DF1CB0">
        <w:t>9</w:t>
      </w:r>
      <w:r w:rsidR="00DB1D5D" w:rsidRPr="00A12B5C">
        <w:t xml:space="preserve">. godini za </w:t>
      </w:r>
      <w:r w:rsidR="00DF1CB0">
        <w:t>133.631,45</w:t>
      </w:r>
      <w:r w:rsidR="002A0B98" w:rsidRPr="00A12B5C">
        <w:t xml:space="preserve"> </w:t>
      </w:r>
      <w:r w:rsidR="00DB1D5D" w:rsidRPr="00A12B5C">
        <w:t xml:space="preserve">KM ili za </w:t>
      </w:r>
      <w:r w:rsidR="002A0B98" w:rsidRPr="00A12B5C">
        <w:t>0,3</w:t>
      </w:r>
      <w:r w:rsidR="00DF1CB0">
        <w:t>1</w:t>
      </w:r>
      <w:r w:rsidR="00DB1D5D" w:rsidRPr="00A12B5C">
        <w:t>%.</w:t>
      </w:r>
      <w:r w:rsidR="00BF53CD" w:rsidRPr="00A12B5C">
        <w:t xml:space="preserve"> Strukturu imovine na dan 31.12.201</w:t>
      </w:r>
      <w:r w:rsidR="00DF1CB0">
        <w:t>9</w:t>
      </w:r>
      <w:r w:rsidR="00BF53CD" w:rsidRPr="00A12B5C">
        <w:t>. godine čine:</w:t>
      </w:r>
    </w:p>
    <w:p w:rsidR="00DF68FD" w:rsidRPr="00D17290" w:rsidRDefault="00DF68FD" w:rsidP="00BF53CD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1105"/>
        <w:gridCol w:w="5777"/>
        <w:gridCol w:w="1744"/>
      </w:tblGrid>
      <w:tr w:rsidR="00BF53CD" w:rsidRPr="00A12B5C" w:rsidTr="001B190E">
        <w:tc>
          <w:tcPr>
            <w:tcW w:w="675" w:type="dxa"/>
          </w:tcPr>
          <w:p w:rsidR="00BF53CD" w:rsidRPr="00A12B5C" w:rsidRDefault="00BF53CD" w:rsidP="001B190E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RB</w:t>
            </w:r>
          </w:p>
        </w:tc>
        <w:tc>
          <w:tcPr>
            <w:tcW w:w="1134" w:type="dxa"/>
          </w:tcPr>
          <w:p w:rsidR="00BF53CD" w:rsidRPr="00A12B5C" w:rsidRDefault="00BF53CD" w:rsidP="001B190E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Konto</w:t>
            </w:r>
          </w:p>
        </w:tc>
        <w:tc>
          <w:tcPr>
            <w:tcW w:w="6285" w:type="dxa"/>
          </w:tcPr>
          <w:p w:rsidR="00BF53CD" w:rsidRPr="00A12B5C" w:rsidRDefault="00BF53CD" w:rsidP="00BF53CD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Naziv</w:t>
            </w:r>
          </w:p>
        </w:tc>
        <w:tc>
          <w:tcPr>
            <w:tcW w:w="1761" w:type="dxa"/>
          </w:tcPr>
          <w:p w:rsidR="00BF53CD" w:rsidRPr="00A12B5C" w:rsidRDefault="00BF53CD" w:rsidP="001B190E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Iznos (KM)</w:t>
            </w:r>
          </w:p>
        </w:tc>
      </w:tr>
      <w:tr w:rsidR="00BF53CD" w:rsidRPr="00A12B5C" w:rsidTr="001B190E">
        <w:tc>
          <w:tcPr>
            <w:tcW w:w="675" w:type="dxa"/>
          </w:tcPr>
          <w:p w:rsidR="00BF53CD" w:rsidRPr="00A12B5C" w:rsidRDefault="00BF53CD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1.</w:t>
            </w:r>
          </w:p>
        </w:tc>
        <w:tc>
          <w:tcPr>
            <w:tcW w:w="1134" w:type="dxa"/>
          </w:tcPr>
          <w:p w:rsidR="00BF53CD" w:rsidRPr="00A12B5C" w:rsidRDefault="00BF53CD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0111</w:t>
            </w:r>
          </w:p>
        </w:tc>
        <w:tc>
          <w:tcPr>
            <w:tcW w:w="6285" w:type="dxa"/>
          </w:tcPr>
          <w:p w:rsidR="00BF53CD" w:rsidRPr="00A12B5C" w:rsidRDefault="00BF53CD" w:rsidP="001B190E">
            <w:pPr>
              <w:rPr>
                <w:iCs/>
              </w:rPr>
            </w:pPr>
            <w:r w:rsidRPr="00A12B5C">
              <w:rPr>
                <w:iCs/>
              </w:rPr>
              <w:t>Zemljište, šume i višegodišnji zasadi</w:t>
            </w:r>
          </w:p>
        </w:tc>
        <w:tc>
          <w:tcPr>
            <w:tcW w:w="1761" w:type="dxa"/>
          </w:tcPr>
          <w:p w:rsidR="00BF53CD" w:rsidRPr="00A12B5C" w:rsidRDefault="00DF1CB0" w:rsidP="009C386F">
            <w:pPr>
              <w:jc w:val="right"/>
              <w:rPr>
                <w:iCs/>
              </w:rPr>
            </w:pPr>
            <w:r>
              <w:rPr>
                <w:iCs/>
              </w:rPr>
              <w:t>1.274.804,74</w:t>
            </w:r>
          </w:p>
        </w:tc>
      </w:tr>
      <w:tr w:rsidR="00BF53CD" w:rsidRPr="00A12B5C" w:rsidTr="001B190E">
        <w:tc>
          <w:tcPr>
            <w:tcW w:w="675" w:type="dxa"/>
          </w:tcPr>
          <w:p w:rsidR="00BF53CD" w:rsidRPr="00A12B5C" w:rsidRDefault="00BF53CD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2.</w:t>
            </w:r>
          </w:p>
        </w:tc>
        <w:tc>
          <w:tcPr>
            <w:tcW w:w="1134" w:type="dxa"/>
          </w:tcPr>
          <w:p w:rsidR="00BF53CD" w:rsidRPr="00A12B5C" w:rsidRDefault="00BF53CD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0112</w:t>
            </w:r>
          </w:p>
        </w:tc>
        <w:tc>
          <w:tcPr>
            <w:tcW w:w="6285" w:type="dxa"/>
          </w:tcPr>
          <w:p w:rsidR="00BF53CD" w:rsidRPr="00A12B5C" w:rsidRDefault="00BF53CD" w:rsidP="001B190E">
            <w:pPr>
              <w:rPr>
                <w:iCs/>
              </w:rPr>
            </w:pPr>
            <w:r w:rsidRPr="00A12B5C">
              <w:rPr>
                <w:iCs/>
              </w:rPr>
              <w:t>Građevine</w:t>
            </w:r>
          </w:p>
        </w:tc>
        <w:tc>
          <w:tcPr>
            <w:tcW w:w="1761" w:type="dxa"/>
          </w:tcPr>
          <w:p w:rsidR="00BF53CD" w:rsidRPr="00A12B5C" w:rsidRDefault="00DF1CB0" w:rsidP="001B190E">
            <w:pPr>
              <w:jc w:val="right"/>
              <w:rPr>
                <w:iCs/>
              </w:rPr>
            </w:pPr>
            <w:r>
              <w:rPr>
                <w:iCs/>
              </w:rPr>
              <w:t>47.742.791,62</w:t>
            </w:r>
          </w:p>
        </w:tc>
      </w:tr>
      <w:tr w:rsidR="00BF53CD" w:rsidRPr="00A12B5C" w:rsidTr="001B190E">
        <w:tc>
          <w:tcPr>
            <w:tcW w:w="675" w:type="dxa"/>
          </w:tcPr>
          <w:p w:rsidR="00BF53CD" w:rsidRPr="00A12B5C" w:rsidRDefault="00BF53CD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3.</w:t>
            </w:r>
          </w:p>
        </w:tc>
        <w:tc>
          <w:tcPr>
            <w:tcW w:w="1134" w:type="dxa"/>
          </w:tcPr>
          <w:p w:rsidR="00BF53CD" w:rsidRPr="00A12B5C" w:rsidRDefault="00BF53CD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0113</w:t>
            </w:r>
          </w:p>
        </w:tc>
        <w:tc>
          <w:tcPr>
            <w:tcW w:w="6285" w:type="dxa"/>
          </w:tcPr>
          <w:p w:rsidR="00BF53CD" w:rsidRPr="00A12B5C" w:rsidRDefault="00BF53CD" w:rsidP="001B190E">
            <w:pPr>
              <w:rPr>
                <w:iCs/>
              </w:rPr>
            </w:pPr>
            <w:r w:rsidRPr="00A12B5C">
              <w:rPr>
                <w:iCs/>
              </w:rPr>
              <w:t>Oprema</w:t>
            </w:r>
          </w:p>
        </w:tc>
        <w:tc>
          <w:tcPr>
            <w:tcW w:w="1761" w:type="dxa"/>
          </w:tcPr>
          <w:p w:rsidR="00BF53CD" w:rsidRPr="00A12B5C" w:rsidRDefault="00DF1CB0" w:rsidP="003B1B4E">
            <w:pPr>
              <w:jc w:val="right"/>
              <w:rPr>
                <w:iCs/>
              </w:rPr>
            </w:pPr>
            <w:r>
              <w:rPr>
                <w:iCs/>
              </w:rPr>
              <w:t>9.952.219,00</w:t>
            </w:r>
          </w:p>
        </w:tc>
      </w:tr>
      <w:tr w:rsidR="00BF53CD" w:rsidRPr="00A12B5C" w:rsidTr="001B190E">
        <w:tc>
          <w:tcPr>
            <w:tcW w:w="675" w:type="dxa"/>
          </w:tcPr>
          <w:p w:rsidR="00BF53CD" w:rsidRPr="00A12B5C" w:rsidRDefault="006F11D3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4.</w:t>
            </w:r>
          </w:p>
        </w:tc>
        <w:tc>
          <w:tcPr>
            <w:tcW w:w="1134" w:type="dxa"/>
          </w:tcPr>
          <w:p w:rsidR="00BF53CD" w:rsidRPr="00A12B5C" w:rsidRDefault="00BF53CD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0114</w:t>
            </w:r>
          </w:p>
        </w:tc>
        <w:tc>
          <w:tcPr>
            <w:tcW w:w="6285" w:type="dxa"/>
          </w:tcPr>
          <w:p w:rsidR="00BF53CD" w:rsidRPr="00A12B5C" w:rsidRDefault="00BF53CD" w:rsidP="001B190E">
            <w:pPr>
              <w:rPr>
                <w:iCs/>
              </w:rPr>
            </w:pPr>
            <w:r w:rsidRPr="00A12B5C">
              <w:rPr>
                <w:iCs/>
              </w:rPr>
              <w:t>Ostala stalna sredstva</w:t>
            </w:r>
          </w:p>
        </w:tc>
        <w:tc>
          <w:tcPr>
            <w:tcW w:w="1761" w:type="dxa"/>
          </w:tcPr>
          <w:p w:rsidR="00BF53CD" w:rsidRPr="00A12B5C" w:rsidRDefault="00DF1CB0" w:rsidP="001B190E">
            <w:pPr>
              <w:jc w:val="right"/>
              <w:rPr>
                <w:iCs/>
              </w:rPr>
            </w:pPr>
            <w:r>
              <w:rPr>
                <w:iCs/>
              </w:rPr>
              <w:t>340,00</w:t>
            </w:r>
          </w:p>
        </w:tc>
      </w:tr>
      <w:tr w:rsidR="00BF53CD" w:rsidRPr="00A12B5C" w:rsidTr="001B190E">
        <w:tc>
          <w:tcPr>
            <w:tcW w:w="675" w:type="dxa"/>
          </w:tcPr>
          <w:p w:rsidR="00BF53CD" w:rsidRPr="00A12B5C" w:rsidRDefault="006F11D3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5.</w:t>
            </w:r>
          </w:p>
        </w:tc>
        <w:tc>
          <w:tcPr>
            <w:tcW w:w="1134" w:type="dxa"/>
          </w:tcPr>
          <w:p w:rsidR="00BF53CD" w:rsidRPr="00A12B5C" w:rsidRDefault="00BF53CD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0115</w:t>
            </w:r>
          </w:p>
        </w:tc>
        <w:tc>
          <w:tcPr>
            <w:tcW w:w="6285" w:type="dxa"/>
          </w:tcPr>
          <w:p w:rsidR="00BF53CD" w:rsidRPr="00A12B5C" w:rsidRDefault="00BF53CD" w:rsidP="001B190E">
            <w:pPr>
              <w:rPr>
                <w:iCs/>
              </w:rPr>
            </w:pPr>
            <w:r w:rsidRPr="00A12B5C">
              <w:rPr>
                <w:iCs/>
              </w:rPr>
              <w:t>Stalna sredstva u obliku prava</w:t>
            </w:r>
          </w:p>
        </w:tc>
        <w:tc>
          <w:tcPr>
            <w:tcW w:w="1761" w:type="dxa"/>
          </w:tcPr>
          <w:p w:rsidR="00BF53CD" w:rsidRPr="00A12B5C" w:rsidRDefault="00DF1CB0" w:rsidP="001B190E">
            <w:pPr>
              <w:jc w:val="right"/>
              <w:rPr>
                <w:iCs/>
              </w:rPr>
            </w:pPr>
            <w:r>
              <w:rPr>
                <w:iCs/>
              </w:rPr>
              <w:t>2.344.365,35</w:t>
            </w:r>
          </w:p>
        </w:tc>
      </w:tr>
      <w:tr w:rsidR="00BF53CD" w:rsidRPr="00A12B5C" w:rsidTr="001B190E">
        <w:tc>
          <w:tcPr>
            <w:tcW w:w="675" w:type="dxa"/>
          </w:tcPr>
          <w:p w:rsidR="00BF53CD" w:rsidRPr="00A12B5C" w:rsidRDefault="006F11D3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6.</w:t>
            </w:r>
          </w:p>
        </w:tc>
        <w:tc>
          <w:tcPr>
            <w:tcW w:w="1134" w:type="dxa"/>
          </w:tcPr>
          <w:p w:rsidR="00BF53CD" w:rsidRPr="00A12B5C" w:rsidRDefault="00BF53CD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0116</w:t>
            </w:r>
          </w:p>
        </w:tc>
        <w:tc>
          <w:tcPr>
            <w:tcW w:w="6285" w:type="dxa"/>
          </w:tcPr>
          <w:p w:rsidR="00BF53CD" w:rsidRPr="00A12B5C" w:rsidRDefault="00BF53CD" w:rsidP="001B190E">
            <w:pPr>
              <w:rPr>
                <w:iCs/>
              </w:rPr>
            </w:pPr>
            <w:r w:rsidRPr="00A12B5C">
              <w:rPr>
                <w:iCs/>
              </w:rPr>
              <w:t>Sredstva u pripremi</w:t>
            </w:r>
          </w:p>
        </w:tc>
        <w:tc>
          <w:tcPr>
            <w:tcW w:w="1761" w:type="dxa"/>
          </w:tcPr>
          <w:p w:rsidR="00BF53CD" w:rsidRPr="00A12B5C" w:rsidRDefault="00DF1CB0" w:rsidP="001B190E">
            <w:pPr>
              <w:jc w:val="right"/>
              <w:rPr>
                <w:iCs/>
              </w:rPr>
            </w:pPr>
            <w:r>
              <w:rPr>
                <w:iCs/>
              </w:rPr>
              <w:t>64.760,00</w:t>
            </w:r>
          </w:p>
        </w:tc>
      </w:tr>
      <w:tr w:rsidR="00BF53CD" w:rsidRPr="00A12B5C" w:rsidTr="001B190E">
        <w:tc>
          <w:tcPr>
            <w:tcW w:w="675" w:type="dxa"/>
          </w:tcPr>
          <w:p w:rsidR="00BF53CD" w:rsidRPr="00A12B5C" w:rsidRDefault="006F11D3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7.</w:t>
            </w:r>
          </w:p>
        </w:tc>
        <w:tc>
          <w:tcPr>
            <w:tcW w:w="1134" w:type="dxa"/>
          </w:tcPr>
          <w:p w:rsidR="00BF53CD" w:rsidRPr="00A12B5C" w:rsidRDefault="00BF53CD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0117</w:t>
            </w:r>
          </w:p>
        </w:tc>
        <w:tc>
          <w:tcPr>
            <w:tcW w:w="6285" w:type="dxa"/>
          </w:tcPr>
          <w:p w:rsidR="00BF53CD" w:rsidRPr="00A12B5C" w:rsidRDefault="00BF53CD" w:rsidP="001B190E">
            <w:pPr>
              <w:rPr>
                <w:iCs/>
              </w:rPr>
            </w:pPr>
            <w:r w:rsidRPr="00A12B5C">
              <w:rPr>
                <w:iCs/>
              </w:rPr>
              <w:t>Sredstva izvan uporabe</w:t>
            </w:r>
          </w:p>
        </w:tc>
        <w:tc>
          <w:tcPr>
            <w:tcW w:w="1761" w:type="dxa"/>
          </w:tcPr>
          <w:p w:rsidR="00BF53CD" w:rsidRPr="00A12B5C" w:rsidRDefault="00DF1CB0" w:rsidP="001B190E">
            <w:pPr>
              <w:jc w:val="right"/>
              <w:rPr>
                <w:iCs/>
              </w:rPr>
            </w:pPr>
            <w:r>
              <w:rPr>
                <w:iCs/>
              </w:rPr>
              <w:t>93.582,86</w:t>
            </w:r>
          </w:p>
        </w:tc>
      </w:tr>
      <w:tr w:rsidR="006F11D3" w:rsidRPr="00A12B5C" w:rsidTr="001B190E">
        <w:tc>
          <w:tcPr>
            <w:tcW w:w="675" w:type="dxa"/>
          </w:tcPr>
          <w:p w:rsidR="006F11D3" w:rsidRPr="00A12B5C" w:rsidRDefault="006F11D3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8.</w:t>
            </w:r>
          </w:p>
        </w:tc>
        <w:tc>
          <w:tcPr>
            <w:tcW w:w="1134" w:type="dxa"/>
          </w:tcPr>
          <w:p w:rsidR="006F11D3" w:rsidRPr="00A12B5C" w:rsidRDefault="006F11D3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0119</w:t>
            </w:r>
          </w:p>
        </w:tc>
        <w:tc>
          <w:tcPr>
            <w:tcW w:w="6285" w:type="dxa"/>
          </w:tcPr>
          <w:p w:rsidR="006F11D3" w:rsidRPr="00A12B5C" w:rsidRDefault="006F11D3" w:rsidP="001B190E">
            <w:pPr>
              <w:rPr>
                <w:iCs/>
              </w:rPr>
            </w:pPr>
            <w:r w:rsidRPr="00A12B5C">
              <w:rPr>
                <w:iCs/>
              </w:rPr>
              <w:t>Ispravka vrijednosti stalnih sredstava</w:t>
            </w:r>
          </w:p>
        </w:tc>
        <w:tc>
          <w:tcPr>
            <w:tcW w:w="1761" w:type="dxa"/>
          </w:tcPr>
          <w:p w:rsidR="006F11D3" w:rsidRPr="00A12B5C" w:rsidRDefault="00DF1CB0" w:rsidP="001B190E">
            <w:pPr>
              <w:jc w:val="right"/>
              <w:rPr>
                <w:iCs/>
              </w:rPr>
            </w:pPr>
            <w:r>
              <w:rPr>
                <w:iCs/>
              </w:rPr>
              <w:t>-17.836.852,54</w:t>
            </w:r>
          </w:p>
        </w:tc>
      </w:tr>
      <w:tr w:rsidR="00BF53CD" w:rsidRPr="00A12B5C" w:rsidTr="001B190E">
        <w:tc>
          <w:tcPr>
            <w:tcW w:w="675" w:type="dxa"/>
          </w:tcPr>
          <w:p w:rsidR="00BF53CD" w:rsidRPr="00A12B5C" w:rsidRDefault="00BF53CD" w:rsidP="001B190E">
            <w:pPr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BF53CD" w:rsidRPr="00A12B5C" w:rsidRDefault="00BF53CD" w:rsidP="001B190E">
            <w:pPr>
              <w:rPr>
                <w:b/>
                <w:bCs/>
                <w:iCs/>
              </w:rPr>
            </w:pPr>
          </w:p>
        </w:tc>
        <w:tc>
          <w:tcPr>
            <w:tcW w:w="6285" w:type="dxa"/>
          </w:tcPr>
          <w:p w:rsidR="00BF53CD" w:rsidRPr="00A12B5C" w:rsidRDefault="00BF53CD" w:rsidP="001B190E">
            <w:pPr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UKUPNO:</w:t>
            </w:r>
          </w:p>
        </w:tc>
        <w:tc>
          <w:tcPr>
            <w:tcW w:w="1761" w:type="dxa"/>
          </w:tcPr>
          <w:p w:rsidR="00BF53CD" w:rsidRPr="00A12B5C" w:rsidRDefault="00F2547B" w:rsidP="00BF53C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/>
            </w:r>
            <w:r w:rsidR="00DF1CB0">
              <w:rPr>
                <w:b/>
                <w:bCs/>
                <w:iCs/>
              </w:rPr>
              <w:instrText xml:space="preserve"> =SUM(ABOVE) </w:instrText>
            </w:r>
            <w:r>
              <w:rPr>
                <w:b/>
                <w:bCs/>
                <w:iCs/>
              </w:rPr>
              <w:fldChar w:fldCharType="separate"/>
            </w:r>
            <w:r w:rsidR="00DF1CB0">
              <w:rPr>
                <w:b/>
                <w:bCs/>
                <w:iCs/>
                <w:noProof/>
              </w:rPr>
              <w:t>43.636.011,03</w:t>
            </w:r>
            <w:r>
              <w:rPr>
                <w:b/>
                <w:bCs/>
                <w:iCs/>
              </w:rPr>
              <w:fldChar w:fldCharType="end"/>
            </w:r>
          </w:p>
        </w:tc>
      </w:tr>
    </w:tbl>
    <w:p w:rsidR="00FB1527" w:rsidRPr="00A12B5C" w:rsidRDefault="00FB1527" w:rsidP="00FB1527">
      <w:pPr>
        <w:widowControl/>
        <w:rPr>
          <w:b/>
          <w:szCs w:val="24"/>
        </w:rPr>
      </w:pPr>
      <w:r w:rsidRPr="00A12B5C">
        <w:rPr>
          <w:b/>
          <w:szCs w:val="24"/>
        </w:rPr>
        <w:lastRenderedPageBreak/>
        <w:t>13.2.</w:t>
      </w:r>
      <w:r w:rsidRPr="00A12B5C">
        <w:rPr>
          <w:b/>
          <w:szCs w:val="24"/>
        </w:rPr>
        <w:tab/>
        <w:t>OBVEZE</w:t>
      </w:r>
    </w:p>
    <w:p w:rsidR="002B6584" w:rsidRPr="00A12B5C" w:rsidRDefault="002B6584" w:rsidP="00FA39C0">
      <w:pPr>
        <w:widowControl/>
      </w:pPr>
    </w:p>
    <w:p w:rsidR="00FB1527" w:rsidRPr="00A12B5C" w:rsidRDefault="00FB1527" w:rsidP="00D03EFB">
      <w:pPr>
        <w:jc w:val="both"/>
        <w:rPr>
          <w:iCs/>
        </w:rPr>
      </w:pPr>
      <w:r w:rsidRPr="00A12B5C">
        <w:rPr>
          <w:b/>
          <w:u w:val="single"/>
        </w:rPr>
        <w:t>Kratkoročne obveze i razgraničenja (klasa 3)</w:t>
      </w:r>
      <w:r w:rsidRPr="00A12B5C">
        <w:t xml:space="preserve"> na početku 201</w:t>
      </w:r>
      <w:r w:rsidR="00DF1CB0">
        <w:t>9</w:t>
      </w:r>
      <w:r w:rsidRPr="00A12B5C">
        <w:t xml:space="preserve">. godine iznosile su </w:t>
      </w:r>
      <w:r w:rsidR="00DF1CB0" w:rsidRPr="00A12B5C">
        <w:t>7.454.720,60</w:t>
      </w:r>
      <w:r w:rsidR="00DF1CB0" w:rsidRPr="00A12B5C">
        <w:rPr>
          <w:rFonts w:eastAsia="MS Mincho"/>
        </w:rPr>
        <w:t xml:space="preserve"> </w:t>
      </w:r>
      <w:r w:rsidR="00DF1CB0" w:rsidRPr="00A12B5C">
        <w:t>KM</w:t>
      </w:r>
      <w:r w:rsidRPr="00A12B5C">
        <w:t xml:space="preserve">, a na kraju godine te obveze iznose </w:t>
      </w:r>
      <w:r w:rsidR="00DF1CB0">
        <w:t>9.335.268,09</w:t>
      </w:r>
      <w:r w:rsidRPr="00A12B5C">
        <w:rPr>
          <w:rFonts w:eastAsia="MS Mincho"/>
        </w:rPr>
        <w:t xml:space="preserve"> </w:t>
      </w:r>
      <w:r w:rsidRPr="00A12B5C">
        <w:t xml:space="preserve">KM, što je </w:t>
      </w:r>
      <w:r w:rsidR="00DF1CB0">
        <w:t>povećanje</w:t>
      </w:r>
      <w:r w:rsidRPr="00A12B5C">
        <w:t xml:space="preserve"> kratkoročnih obveza i razgraničenja u apsolutnom iznosu za </w:t>
      </w:r>
      <w:r w:rsidR="00DF1CB0">
        <w:t>1.880.547,49</w:t>
      </w:r>
      <w:r w:rsidR="00431E6F" w:rsidRPr="00A12B5C">
        <w:t xml:space="preserve"> </w:t>
      </w:r>
      <w:r w:rsidRPr="00A12B5C">
        <w:t xml:space="preserve">KM ili </w:t>
      </w:r>
      <w:r w:rsidR="00DF1CB0">
        <w:t>povećanje</w:t>
      </w:r>
      <w:r w:rsidRPr="00A12B5C">
        <w:t xml:space="preserve"> za </w:t>
      </w:r>
      <w:r w:rsidR="00DF1CB0">
        <w:t>25,23</w:t>
      </w:r>
      <w:r w:rsidRPr="00A12B5C">
        <w:t>%. K</w:t>
      </w:r>
      <w:r w:rsidRPr="00A12B5C">
        <w:rPr>
          <w:iCs/>
        </w:rPr>
        <w:t>ratkoročne obveze i razgraničenja na dan 31.12.201</w:t>
      </w:r>
      <w:r w:rsidR="00DF1CB0">
        <w:rPr>
          <w:iCs/>
        </w:rPr>
        <w:t>9</w:t>
      </w:r>
      <w:r w:rsidRPr="00A12B5C">
        <w:rPr>
          <w:iCs/>
        </w:rPr>
        <w:t>. godine sastoje se od:</w:t>
      </w:r>
    </w:p>
    <w:p w:rsidR="00FB1527" w:rsidRPr="00A12B5C" w:rsidRDefault="00FB1527" w:rsidP="00FB1527">
      <w:pPr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3944"/>
        <w:gridCol w:w="2330"/>
        <w:gridCol w:w="2353"/>
      </w:tblGrid>
      <w:tr w:rsidR="00FB1527" w:rsidRPr="00A12B5C" w:rsidTr="00BB12EA">
        <w:tc>
          <w:tcPr>
            <w:tcW w:w="661" w:type="dxa"/>
          </w:tcPr>
          <w:p w:rsidR="00FB1527" w:rsidRPr="00A12B5C" w:rsidRDefault="00FB1527" w:rsidP="00FB1527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RB</w:t>
            </w:r>
          </w:p>
        </w:tc>
        <w:tc>
          <w:tcPr>
            <w:tcW w:w="3944" w:type="dxa"/>
          </w:tcPr>
          <w:p w:rsidR="00FB1527" w:rsidRPr="00A12B5C" w:rsidRDefault="00FB1527" w:rsidP="00FB1527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Vrsta obveze</w:t>
            </w:r>
          </w:p>
        </w:tc>
        <w:tc>
          <w:tcPr>
            <w:tcW w:w="2330" w:type="dxa"/>
          </w:tcPr>
          <w:p w:rsidR="00FB1527" w:rsidRPr="00A12B5C" w:rsidRDefault="00FB1527" w:rsidP="00FB1527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Glavna kategorija</w:t>
            </w:r>
          </w:p>
        </w:tc>
        <w:tc>
          <w:tcPr>
            <w:tcW w:w="2353" w:type="dxa"/>
          </w:tcPr>
          <w:p w:rsidR="00FB1527" w:rsidRPr="00A12B5C" w:rsidRDefault="00FB1527" w:rsidP="00FB1527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Iznos (KM)</w:t>
            </w:r>
          </w:p>
        </w:tc>
      </w:tr>
      <w:tr w:rsidR="00FB1527" w:rsidRPr="00A12B5C" w:rsidTr="00BB12EA">
        <w:tc>
          <w:tcPr>
            <w:tcW w:w="661" w:type="dxa"/>
          </w:tcPr>
          <w:p w:rsidR="00FB1527" w:rsidRPr="00A12B5C" w:rsidRDefault="00FB1527" w:rsidP="00FB1527">
            <w:pPr>
              <w:jc w:val="center"/>
              <w:rPr>
                <w:iCs/>
              </w:rPr>
            </w:pPr>
            <w:r w:rsidRPr="00A12B5C">
              <w:rPr>
                <w:iCs/>
              </w:rPr>
              <w:t>1.</w:t>
            </w:r>
          </w:p>
        </w:tc>
        <w:tc>
          <w:tcPr>
            <w:tcW w:w="3944" w:type="dxa"/>
          </w:tcPr>
          <w:p w:rsidR="00FB1527" w:rsidRPr="00A12B5C" w:rsidRDefault="00FB1527" w:rsidP="00FB1527">
            <w:pPr>
              <w:jc w:val="both"/>
              <w:rPr>
                <w:iCs/>
              </w:rPr>
            </w:pPr>
            <w:r w:rsidRPr="00A12B5C">
              <w:rPr>
                <w:iCs/>
              </w:rPr>
              <w:t>Kratkoročne tekuće obveze</w:t>
            </w:r>
          </w:p>
        </w:tc>
        <w:tc>
          <w:tcPr>
            <w:tcW w:w="2330" w:type="dxa"/>
          </w:tcPr>
          <w:p w:rsidR="00FB1527" w:rsidRPr="00A12B5C" w:rsidRDefault="00FB1527" w:rsidP="00FB1527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</w:t>
            </w:r>
          </w:p>
        </w:tc>
        <w:tc>
          <w:tcPr>
            <w:tcW w:w="2353" w:type="dxa"/>
          </w:tcPr>
          <w:p w:rsidR="00FB1527" w:rsidRPr="00A12B5C" w:rsidRDefault="00DF1CB0" w:rsidP="00FB1527">
            <w:pPr>
              <w:jc w:val="right"/>
              <w:rPr>
                <w:iCs/>
              </w:rPr>
            </w:pPr>
            <w:r>
              <w:rPr>
                <w:iCs/>
              </w:rPr>
              <w:t>3.847.515,04</w:t>
            </w:r>
          </w:p>
        </w:tc>
      </w:tr>
      <w:tr w:rsidR="00FB1527" w:rsidRPr="00A12B5C" w:rsidTr="00BB12EA">
        <w:tc>
          <w:tcPr>
            <w:tcW w:w="661" w:type="dxa"/>
          </w:tcPr>
          <w:p w:rsidR="00FB1527" w:rsidRPr="00A12B5C" w:rsidRDefault="00BB12EA" w:rsidP="00FB1527">
            <w:pPr>
              <w:jc w:val="center"/>
              <w:rPr>
                <w:iCs/>
              </w:rPr>
            </w:pPr>
            <w:r w:rsidRPr="00A12B5C">
              <w:rPr>
                <w:iCs/>
              </w:rPr>
              <w:t>2</w:t>
            </w:r>
            <w:r w:rsidR="00FB1527" w:rsidRPr="00A12B5C">
              <w:rPr>
                <w:iCs/>
              </w:rPr>
              <w:t>.</w:t>
            </w:r>
          </w:p>
        </w:tc>
        <w:tc>
          <w:tcPr>
            <w:tcW w:w="3944" w:type="dxa"/>
          </w:tcPr>
          <w:p w:rsidR="00FB1527" w:rsidRPr="00A12B5C" w:rsidRDefault="00FB1527" w:rsidP="00FB1527">
            <w:pPr>
              <w:jc w:val="both"/>
              <w:rPr>
                <w:iCs/>
              </w:rPr>
            </w:pPr>
            <w:r w:rsidRPr="00A12B5C">
              <w:rPr>
                <w:iCs/>
              </w:rPr>
              <w:t>Obveze prema radnicima</w:t>
            </w:r>
          </w:p>
        </w:tc>
        <w:tc>
          <w:tcPr>
            <w:tcW w:w="2330" w:type="dxa"/>
          </w:tcPr>
          <w:p w:rsidR="00FB1527" w:rsidRPr="00A12B5C" w:rsidRDefault="00FB1527" w:rsidP="00FB1527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34</w:t>
            </w:r>
          </w:p>
        </w:tc>
        <w:tc>
          <w:tcPr>
            <w:tcW w:w="2353" w:type="dxa"/>
          </w:tcPr>
          <w:p w:rsidR="00FB1527" w:rsidRPr="00A12B5C" w:rsidRDefault="00B029DB" w:rsidP="00FB1527">
            <w:pPr>
              <w:jc w:val="right"/>
              <w:rPr>
                <w:iCs/>
              </w:rPr>
            </w:pPr>
            <w:r>
              <w:rPr>
                <w:iCs/>
              </w:rPr>
              <w:t>2.978.982,19</w:t>
            </w:r>
          </w:p>
        </w:tc>
      </w:tr>
      <w:tr w:rsidR="00FB1527" w:rsidRPr="00A12B5C" w:rsidTr="00BB12EA">
        <w:tc>
          <w:tcPr>
            <w:tcW w:w="661" w:type="dxa"/>
          </w:tcPr>
          <w:p w:rsidR="00FB1527" w:rsidRPr="00A12B5C" w:rsidRDefault="00BB12EA" w:rsidP="00FB1527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</w:t>
            </w:r>
            <w:r w:rsidR="00FB1527" w:rsidRPr="00A12B5C">
              <w:rPr>
                <w:iCs/>
              </w:rPr>
              <w:t>.</w:t>
            </w:r>
          </w:p>
        </w:tc>
        <w:tc>
          <w:tcPr>
            <w:tcW w:w="3944" w:type="dxa"/>
          </w:tcPr>
          <w:p w:rsidR="00FB1527" w:rsidRPr="00A12B5C" w:rsidRDefault="00FB1527" w:rsidP="00FB1527">
            <w:pPr>
              <w:jc w:val="both"/>
              <w:rPr>
                <w:iCs/>
              </w:rPr>
            </w:pPr>
            <w:r w:rsidRPr="00A12B5C">
              <w:rPr>
                <w:iCs/>
              </w:rPr>
              <w:t>Kratkoročna razgraničenja</w:t>
            </w:r>
          </w:p>
        </w:tc>
        <w:tc>
          <w:tcPr>
            <w:tcW w:w="2330" w:type="dxa"/>
          </w:tcPr>
          <w:p w:rsidR="00FB1527" w:rsidRPr="00A12B5C" w:rsidRDefault="00FB1527" w:rsidP="00FB1527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39</w:t>
            </w:r>
          </w:p>
        </w:tc>
        <w:tc>
          <w:tcPr>
            <w:tcW w:w="2353" w:type="dxa"/>
          </w:tcPr>
          <w:p w:rsidR="00FB1527" w:rsidRPr="00A12B5C" w:rsidRDefault="00B029DB" w:rsidP="00FB1527">
            <w:pPr>
              <w:jc w:val="right"/>
              <w:rPr>
                <w:iCs/>
              </w:rPr>
            </w:pPr>
            <w:r>
              <w:rPr>
                <w:iCs/>
              </w:rPr>
              <w:t>2.508.770,86</w:t>
            </w:r>
          </w:p>
        </w:tc>
      </w:tr>
      <w:tr w:rsidR="00FB1527" w:rsidRPr="00A12B5C" w:rsidTr="00BB12EA">
        <w:tc>
          <w:tcPr>
            <w:tcW w:w="661" w:type="dxa"/>
          </w:tcPr>
          <w:p w:rsidR="00FB1527" w:rsidRPr="00A12B5C" w:rsidRDefault="00FB1527" w:rsidP="00FB152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944" w:type="dxa"/>
          </w:tcPr>
          <w:p w:rsidR="00FB1527" w:rsidRPr="00A12B5C" w:rsidRDefault="00FB1527" w:rsidP="00FB1527">
            <w:pPr>
              <w:jc w:val="both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UKUPNO:</w:t>
            </w:r>
          </w:p>
        </w:tc>
        <w:tc>
          <w:tcPr>
            <w:tcW w:w="2330" w:type="dxa"/>
          </w:tcPr>
          <w:p w:rsidR="00FB1527" w:rsidRPr="00A12B5C" w:rsidRDefault="00FB1527" w:rsidP="00FB152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353" w:type="dxa"/>
          </w:tcPr>
          <w:p w:rsidR="00FB1527" w:rsidRPr="00A12B5C" w:rsidRDefault="00F2547B" w:rsidP="00BB12EA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/>
            </w:r>
            <w:r w:rsidR="00B029DB">
              <w:rPr>
                <w:b/>
                <w:bCs/>
                <w:iCs/>
              </w:rPr>
              <w:instrText xml:space="preserve"> =SUM(ABOVE) </w:instrText>
            </w:r>
            <w:r>
              <w:rPr>
                <w:b/>
                <w:bCs/>
                <w:iCs/>
              </w:rPr>
              <w:fldChar w:fldCharType="separate"/>
            </w:r>
            <w:r w:rsidR="00B029DB">
              <w:rPr>
                <w:b/>
                <w:bCs/>
                <w:iCs/>
                <w:noProof/>
              </w:rPr>
              <w:t>9.335.268,09</w:t>
            </w:r>
            <w:r>
              <w:rPr>
                <w:b/>
                <w:bCs/>
                <w:iCs/>
              </w:rPr>
              <w:fldChar w:fldCharType="end"/>
            </w:r>
          </w:p>
        </w:tc>
      </w:tr>
    </w:tbl>
    <w:p w:rsidR="00D17290" w:rsidRDefault="00D17290" w:rsidP="00FB1527">
      <w:pPr>
        <w:pStyle w:val="Podnoje"/>
        <w:tabs>
          <w:tab w:val="clear" w:pos="4536"/>
          <w:tab w:val="clear" w:pos="9072"/>
        </w:tabs>
        <w:rPr>
          <w:b/>
          <w:bCs/>
          <w:iCs/>
        </w:rPr>
      </w:pPr>
    </w:p>
    <w:p w:rsidR="00FB1527" w:rsidRPr="00A12B5C" w:rsidRDefault="00FB1527" w:rsidP="00FB1527">
      <w:pPr>
        <w:pStyle w:val="Podnoje"/>
        <w:tabs>
          <w:tab w:val="clear" w:pos="4536"/>
          <w:tab w:val="clear" w:pos="9072"/>
        </w:tabs>
        <w:rPr>
          <w:b/>
          <w:bCs/>
          <w:iCs/>
        </w:rPr>
      </w:pPr>
      <w:r w:rsidRPr="00A12B5C">
        <w:rPr>
          <w:b/>
          <w:bCs/>
          <w:iCs/>
        </w:rPr>
        <w:t>Kratkoročne tekuće obveze – glavna kategorija 31</w:t>
      </w:r>
    </w:p>
    <w:p w:rsidR="00FB1527" w:rsidRPr="00A12B5C" w:rsidRDefault="00FB1527" w:rsidP="00FB1527">
      <w:pPr>
        <w:pStyle w:val="Tekstbalonia1"/>
        <w:rPr>
          <w:rFonts w:ascii="Times New Roman" w:hAnsi="Times New Roman" w:cs="Times New Roman"/>
          <w:iCs/>
          <w:szCs w:val="20"/>
          <w:lang w:val="hr-HR"/>
        </w:rPr>
      </w:pPr>
    </w:p>
    <w:p w:rsidR="00FB1527" w:rsidRDefault="00FB1527" w:rsidP="00FB1527">
      <w:pPr>
        <w:pStyle w:val="Tijeloteksta"/>
        <w:jc w:val="both"/>
        <w:rPr>
          <w:iCs/>
          <w:lang w:val="hr-HR"/>
        </w:rPr>
      </w:pPr>
      <w:r w:rsidRPr="00A12B5C">
        <w:rPr>
          <w:iCs/>
          <w:lang w:val="hr-HR"/>
        </w:rPr>
        <w:t xml:space="preserve">Stanje obveza na glavnoj kategoriji 31 – Kratkoročne tekuće obveze iznosi </w:t>
      </w:r>
      <w:r w:rsidR="00B029DB">
        <w:rPr>
          <w:iCs/>
          <w:lang w:val="hr-HR"/>
        </w:rPr>
        <w:t xml:space="preserve">3.847.515,04 </w:t>
      </w:r>
      <w:r w:rsidRPr="00A12B5C">
        <w:rPr>
          <w:iCs/>
          <w:lang w:val="hr-HR"/>
        </w:rPr>
        <w:t xml:space="preserve">KM i </w:t>
      </w:r>
      <w:r w:rsidR="00B029DB">
        <w:rPr>
          <w:iCs/>
          <w:lang w:val="hr-HR"/>
        </w:rPr>
        <w:t>veće su u odnosu na prethodnu godinu za 28,34%. Strukturu obveza čine: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1113"/>
        <w:gridCol w:w="5783"/>
        <w:gridCol w:w="1731"/>
      </w:tblGrid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RB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Konto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Naziv konta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Iznos (KM)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1.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311111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pStyle w:val="Podnoje"/>
              <w:tabs>
                <w:tab w:val="clear" w:pos="4536"/>
                <w:tab w:val="clear" w:pos="9072"/>
              </w:tabs>
              <w:rPr>
                <w:iCs/>
                <w:sz w:val="22"/>
                <w:szCs w:val="22"/>
              </w:rPr>
            </w:pPr>
            <w:r w:rsidRPr="00A12B5C">
              <w:rPr>
                <w:iCs/>
                <w:sz w:val="22"/>
                <w:szCs w:val="22"/>
              </w:rPr>
              <w:t>Obveze prema dobavljačima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1.622.125,04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2.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311113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 xml:space="preserve">Obveze prema dob.za poreze po osnovi </w:t>
            </w:r>
            <w:proofErr w:type="spellStart"/>
            <w:r w:rsidRPr="00A12B5C">
              <w:rPr>
                <w:iCs/>
                <w:sz w:val="22"/>
              </w:rPr>
              <w:t>ugov.usluga</w:t>
            </w:r>
            <w:proofErr w:type="spellEnd"/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204,81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311121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po obustavljenim porezima i doprinosima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10.850,97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311191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pStyle w:val="Podnoje"/>
              <w:tabs>
                <w:tab w:val="clear" w:pos="4536"/>
                <w:tab w:val="clear" w:pos="9072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Ostale obveze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313.924,00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311211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pStyle w:val="Podnoje"/>
              <w:tabs>
                <w:tab w:val="clear" w:pos="4536"/>
                <w:tab w:val="clear" w:pos="9072"/>
              </w:tabs>
              <w:rPr>
                <w:iCs/>
                <w:sz w:val="22"/>
                <w:szCs w:val="22"/>
              </w:rPr>
            </w:pPr>
            <w:r w:rsidRPr="00A12B5C">
              <w:rPr>
                <w:iCs/>
                <w:sz w:val="22"/>
                <w:szCs w:val="22"/>
              </w:rPr>
              <w:t>Obveze prema fizičkim osobama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87.484,53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311212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prema skupštinskim zastupnicima – neprofesionalcima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7.700,00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311416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za tekuće transfere općinama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95.587,93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8.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311421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za namjenske transfere drugim razinama vlasti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252.974,13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9.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311471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Obveze za tekuće transfere za zdravstvo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325.777,79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10.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311511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za tekuće transfere pojedincima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381.748,37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11.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311611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za tekuće transfere neprofitnim organizacijama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44.548,34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12.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311711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za subvencije javnim poduzećima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2.000,00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311721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za subvencije privatnim poduzećima i poduzetnicima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539.987,14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14.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3118</w:t>
            </w:r>
            <w:r>
              <w:rPr>
                <w:iCs/>
              </w:rPr>
              <w:t>21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Obveze za kapitalne transfere za zdravstvo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140.000,00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>
              <w:rPr>
                <w:iCs/>
              </w:rPr>
              <w:t>15.</w:t>
            </w:r>
          </w:p>
        </w:tc>
        <w:tc>
          <w:tcPr>
            <w:tcW w:w="1113" w:type="dxa"/>
          </w:tcPr>
          <w:p w:rsidR="00B029DB" w:rsidRPr="00A12B5C" w:rsidRDefault="00B029DB" w:rsidP="00B029DB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311911</w:t>
            </w:r>
          </w:p>
        </w:tc>
        <w:tc>
          <w:tcPr>
            <w:tcW w:w="5783" w:type="dxa"/>
          </w:tcPr>
          <w:p w:rsidR="00B029DB" w:rsidRPr="00A12B5C" w:rsidRDefault="00B029DB" w:rsidP="00B029DB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Ostale kratkoročne obveze</w:t>
            </w:r>
          </w:p>
        </w:tc>
        <w:tc>
          <w:tcPr>
            <w:tcW w:w="1731" w:type="dxa"/>
          </w:tcPr>
          <w:p w:rsidR="00B029DB" w:rsidRPr="00A12B5C" w:rsidRDefault="00B029DB" w:rsidP="00B029DB">
            <w:pPr>
              <w:jc w:val="right"/>
              <w:rPr>
                <w:iCs/>
              </w:rPr>
            </w:pPr>
            <w:r>
              <w:rPr>
                <w:iCs/>
              </w:rPr>
              <w:t>22.601,99</w:t>
            </w:r>
          </w:p>
        </w:tc>
      </w:tr>
      <w:tr w:rsidR="00B029DB" w:rsidRPr="00A12B5C" w:rsidTr="00B029DB">
        <w:tc>
          <w:tcPr>
            <w:tcW w:w="661" w:type="dxa"/>
          </w:tcPr>
          <w:p w:rsidR="00B029DB" w:rsidRPr="00A12B5C" w:rsidRDefault="00B029DB" w:rsidP="00B029DB">
            <w:pPr>
              <w:rPr>
                <w:b/>
                <w:bCs/>
                <w:iCs/>
              </w:rPr>
            </w:pPr>
          </w:p>
        </w:tc>
        <w:tc>
          <w:tcPr>
            <w:tcW w:w="1113" w:type="dxa"/>
          </w:tcPr>
          <w:p w:rsidR="00B029DB" w:rsidRPr="00A12B5C" w:rsidRDefault="00B029DB" w:rsidP="00B029DB">
            <w:pPr>
              <w:rPr>
                <w:b/>
                <w:bCs/>
                <w:iCs/>
              </w:rPr>
            </w:pPr>
          </w:p>
        </w:tc>
        <w:tc>
          <w:tcPr>
            <w:tcW w:w="5783" w:type="dxa"/>
          </w:tcPr>
          <w:p w:rsidR="00B029DB" w:rsidRPr="00A12B5C" w:rsidRDefault="00B029DB" w:rsidP="00B029DB">
            <w:pPr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UKUPNO:</w:t>
            </w:r>
          </w:p>
        </w:tc>
        <w:tc>
          <w:tcPr>
            <w:tcW w:w="1731" w:type="dxa"/>
          </w:tcPr>
          <w:p w:rsidR="00B029DB" w:rsidRPr="00A12B5C" w:rsidRDefault="00F2547B" w:rsidP="00B029DB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/>
            </w:r>
            <w:r w:rsidR="00B029DB">
              <w:rPr>
                <w:b/>
                <w:bCs/>
                <w:iCs/>
              </w:rPr>
              <w:instrText xml:space="preserve"> =SUM(ABOVE) </w:instrText>
            </w:r>
            <w:r>
              <w:rPr>
                <w:b/>
                <w:bCs/>
                <w:iCs/>
              </w:rPr>
              <w:fldChar w:fldCharType="separate"/>
            </w:r>
            <w:r w:rsidR="00B029DB">
              <w:rPr>
                <w:b/>
                <w:bCs/>
                <w:iCs/>
                <w:noProof/>
              </w:rPr>
              <w:t>3.847.515,04</w:t>
            </w:r>
            <w:r>
              <w:rPr>
                <w:b/>
                <w:bCs/>
                <w:iCs/>
              </w:rPr>
              <w:fldChar w:fldCharType="end"/>
            </w:r>
          </w:p>
        </w:tc>
      </w:tr>
    </w:tbl>
    <w:p w:rsidR="00B372BD" w:rsidRDefault="00B372BD" w:rsidP="00FB1527">
      <w:pPr>
        <w:rPr>
          <w:iCs/>
          <w:sz w:val="20"/>
          <w:szCs w:val="20"/>
        </w:rPr>
      </w:pPr>
    </w:p>
    <w:p w:rsidR="00FB1527" w:rsidRPr="00A12B5C" w:rsidRDefault="00FB1527" w:rsidP="00FB1527">
      <w:pPr>
        <w:pStyle w:val="Podnoje"/>
        <w:tabs>
          <w:tab w:val="clear" w:pos="4536"/>
          <w:tab w:val="clear" w:pos="9072"/>
        </w:tabs>
        <w:rPr>
          <w:b/>
          <w:bCs/>
          <w:iCs/>
        </w:rPr>
      </w:pPr>
      <w:r w:rsidRPr="00A12B5C">
        <w:rPr>
          <w:b/>
          <w:bCs/>
          <w:iCs/>
        </w:rPr>
        <w:t>Obveze prema radnicima – glavna kategorija 34</w:t>
      </w:r>
    </w:p>
    <w:p w:rsidR="00FB1527" w:rsidRPr="00A12B5C" w:rsidRDefault="00FB1527" w:rsidP="00FB1527">
      <w:pPr>
        <w:pStyle w:val="Tekstbalonia1"/>
        <w:rPr>
          <w:rFonts w:ascii="Times New Roman" w:hAnsi="Times New Roman" w:cs="Times New Roman"/>
          <w:iCs/>
          <w:szCs w:val="20"/>
          <w:lang w:val="hr-HR"/>
        </w:rPr>
      </w:pPr>
    </w:p>
    <w:p w:rsidR="00FB1527" w:rsidRPr="00A12B5C" w:rsidRDefault="00FB1527" w:rsidP="00BB12EA">
      <w:pPr>
        <w:pStyle w:val="Tijeloteksta"/>
        <w:jc w:val="both"/>
        <w:rPr>
          <w:iCs/>
          <w:lang w:val="hr-HR"/>
        </w:rPr>
      </w:pPr>
      <w:r w:rsidRPr="00A12B5C">
        <w:rPr>
          <w:iCs/>
          <w:lang w:val="hr-HR"/>
        </w:rPr>
        <w:t xml:space="preserve">Stanje obveza na glavnoj kategoriji 34 – Obveze prema radnicima iznosi </w:t>
      </w:r>
      <w:r w:rsidR="00B029DB">
        <w:rPr>
          <w:iCs/>
          <w:lang w:val="hr-HR"/>
        </w:rPr>
        <w:t>2.978.982,19 KM i manje su od obveza prema radnicima u 2018. godini za 2,40%. Strukturu obveza čine</w:t>
      </w:r>
      <w:r w:rsidRPr="00A12B5C">
        <w:rPr>
          <w:iCs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1108"/>
        <w:gridCol w:w="5796"/>
        <w:gridCol w:w="1722"/>
      </w:tblGrid>
      <w:tr w:rsidR="004A0605" w:rsidRPr="00A12B5C" w:rsidTr="00B372BD">
        <w:tc>
          <w:tcPr>
            <w:tcW w:w="662" w:type="dxa"/>
          </w:tcPr>
          <w:p w:rsidR="004A0605" w:rsidRPr="00A12B5C" w:rsidRDefault="004A0605" w:rsidP="003A4C21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RB</w:t>
            </w:r>
          </w:p>
        </w:tc>
        <w:tc>
          <w:tcPr>
            <w:tcW w:w="1108" w:type="dxa"/>
          </w:tcPr>
          <w:p w:rsidR="004A0605" w:rsidRPr="00A12B5C" w:rsidRDefault="004A0605" w:rsidP="003A4C21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Konto</w:t>
            </w:r>
          </w:p>
        </w:tc>
        <w:tc>
          <w:tcPr>
            <w:tcW w:w="5796" w:type="dxa"/>
          </w:tcPr>
          <w:p w:rsidR="004A0605" w:rsidRPr="00A12B5C" w:rsidRDefault="004A0605" w:rsidP="003A4C21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Naziv konta</w:t>
            </w:r>
          </w:p>
        </w:tc>
        <w:tc>
          <w:tcPr>
            <w:tcW w:w="1722" w:type="dxa"/>
          </w:tcPr>
          <w:p w:rsidR="004A0605" w:rsidRPr="00A12B5C" w:rsidRDefault="004A0605" w:rsidP="003A4C21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Iznos (KM)</w:t>
            </w:r>
          </w:p>
        </w:tc>
      </w:tr>
      <w:tr w:rsidR="004A0605" w:rsidRPr="00A12B5C" w:rsidTr="00B372BD">
        <w:tc>
          <w:tcPr>
            <w:tcW w:w="662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1.</w:t>
            </w:r>
          </w:p>
        </w:tc>
        <w:tc>
          <w:tcPr>
            <w:tcW w:w="1108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341111</w:t>
            </w:r>
          </w:p>
        </w:tc>
        <w:tc>
          <w:tcPr>
            <w:tcW w:w="5796" w:type="dxa"/>
          </w:tcPr>
          <w:p w:rsidR="004A0605" w:rsidRPr="00A12B5C" w:rsidRDefault="004A0605" w:rsidP="003A4C21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Plaće za redovan rad</w:t>
            </w:r>
          </w:p>
        </w:tc>
        <w:tc>
          <w:tcPr>
            <w:tcW w:w="1722" w:type="dxa"/>
          </w:tcPr>
          <w:p w:rsidR="004A0605" w:rsidRPr="00A12B5C" w:rsidRDefault="00F00DB8" w:rsidP="003A4C21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716.262,53</w:t>
            </w:r>
          </w:p>
        </w:tc>
      </w:tr>
      <w:tr w:rsidR="004A0605" w:rsidRPr="00A12B5C" w:rsidTr="00B372BD">
        <w:tc>
          <w:tcPr>
            <w:tcW w:w="662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2.</w:t>
            </w:r>
          </w:p>
        </w:tc>
        <w:tc>
          <w:tcPr>
            <w:tcW w:w="1108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341112</w:t>
            </w:r>
          </w:p>
        </w:tc>
        <w:tc>
          <w:tcPr>
            <w:tcW w:w="5796" w:type="dxa"/>
          </w:tcPr>
          <w:p w:rsidR="004A0605" w:rsidRPr="00A12B5C" w:rsidRDefault="004A0605" w:rsidP="003A4C21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Plaće za produženi rad</w:t>
            </w:r>
          </w:p>
        </w:tc>
        <w:tc>
          <w:tcPr>
            <w:tcW w:w="1722" w:type="dxa"/>
          </w:tcPr>
          <w:p w:rsidR="004A0605" w:rsidRPr="00A12B5C" w:rsidRDefault="00F00DB8" w:rsidP="003A4C21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9.369,22</w:t>
            </w:r>
          </w:p>
        </w:tc>
      </w:tr>
      <w:tr w:rsidR="004A0605" w:rsidRPr="00A12B5C" w:rsidTr="00B372BD">
        <w:tc>
          <w:tcPr>
            <w:tcW w:w="662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3.</w:t>
            </w:r>
          </w:p>
        </w:tc>
        <w:tc>
          <w:tcPr>
            <w:tcW w:w="1108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341211</w:t>
            </w:r>
          </w:p>
        </w:tc>
        <w:tc>
          <w:tcPr>
            <w:tcW w:w="5796" w:type="dxa"/>
          </w:tcPr>
          <w:p w:rsidR="004A0605" w:rsidRPr="00A12B5C" w:rsidRDefault="004A0605" w:rsidP="003A4C21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naknade plaće za vrijeme bolovanja</w:t>
            </w:r>
          </w:p>
        </w:tc>
        <w:tc>
          <w:tcPr>
            <w:tcW w:w="1722" w:type="dxa"/>
          </w:tcPr>
          <w:p w:rsidR="004A0605" w:rsidRPr="00A12B5C" w:rsidRDefault="00F00DB8" w:rsidP="003A4C21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20.541,06</w:t>
            </w:r>
          </w:p>
        </w:tc>
      </w:tr>
      <w:tr w:rsidR="004A0605" w:rsidRPr="00A12B5C" w:rsidTr="00B372BD">
        <w:tc>
          <w:tcPr>
            <w:tcW w:w="662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4.</w:t>
            </w:r>
          </w:p>
        </w:tc>
        <w:tc>
          <w:tcPr>
            <w:tcW w:w="1108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341212</w:t>
            </w:r>
          </w:p>
        </w:tc>
        <w:tc>
          <w:tcPr>
            <w:tcW w:w="5796" w:type="dxa"/>
          </w:tcPr>
          <w:p w:rsidR="004A0605" w:rsidRPr="00A12B5C" w:rsidRDefault="004A0605" w:rsidP="003A4C21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naknade plaće za vrijeme godišnjeg odmora</w:t>
            </w:r>
          </w:p>
        </w:tc>
        <w:tc>
          <w:tcPr>
            <w:tcW w:w="1722" w:type="dxa"/>
          </w:tcPr>
          <w:p w:rsidR="004A0605" w:rsidRPr="00A12B5C" w:rsidRDefault="00F00DB8" w:rsidP="003A4C21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26.816,43</w:t>
            </w:r>
          </w:p>
        </w:tc>
      </w:tr>
      <w:tr w:rsidR="004A0605" w:rsidRPr="00A12B5C" w:rsidTr="00B372BD">
        <w:tc>
          <w:tcPr>
            <w:tcW w:w="662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5.</w:t>
            </w:r>
          </w:p>
        </w:tc>
        <w:tc>
          <w:tcPr>
            <w:tcW w:w="1108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341213</w:t>
            </w:r>
          </w:p>
        </w:tc>
        <w:tc>
          <w:tcPr>
            <w:tcW w:w="5796" w:type="dxa"/>
          </w:tcPr>
          <w:p w:rsidR="004A0605" w:rsidRPr="00A12B5C" w:rsidRDefault="004A0605" w:rsidP="003A4C21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naknade plaće za vrijeme plaćenog odsustva</w:t>
            </w:r>
          </w:p>
        </w:tc>
        <w:tc>
          <w:tcPr>
            <w:tcW w:w="1722" w:type="dxa"/>
          </w:tcPr>
          <w:p w:rsidR="004A0605" w:rsidRPr="00A12B5C" w:rsidRDefault="00F00DB8" w:rsidP="003A4C21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9.799,79</w:t>
            </w:r>
          </w:p>
        </w:tc>
      </w:tr>
      <w:tr w:rsidR="004A0605" w:rsidRPr="00A12B5C" w:rsidTr="00B372BD">
        <w:tc>
          <w:tcPr>
            <w:tcW w:w="662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6.</w:t>
            </w:r>
          </w:p>
        </w:tc>
        <w:tc>
          <w:tcPr>
            <w:tcW w:w="1108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341214</w:t>
            </w:r>
          </w:p>
        </w:tc>
        <w:tc>
          <w:tcPr>
            <w:tcW w:w="5796" w:type="dxa"/>
          </w:tcPr>
          <w:p w:rsidR="004A0605" w:rsidRPr="00A12B5C" w:rsidRDefault="004A0605" w:rsidP="003A4C21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naknade plaće za državne i vjerske praznike</w:t>
            </w:r>
          </w:p>
        </w:tc>
        <w:tc>
          <w:tcPr>
            <w:tcW w:w="1722" w:type="dxa"/>
          </w:tcPr>
          <w:p w:rsidR="004A0605" w:rsidRPr="00A12B5C" w:rsidRDefault="00F00DB8" w:rsidP="003A4C21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125.546,32</w:t>
            </w:r>
          </w:p>
        </w:tc>
      </w:tr>
      <w:tr w:rsidR="004A0605" w:rsidRPr="00A12B5C" w:rsidTr="00B372BD">
        <w:tc>
          <w:tcPr>
            <w:tcW w:w="662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7.</w:t>
            </w:r>
          </w:p>
        </w:tc>
        <w:tc>
          <w:tcPr>
            <w:tcW w:w="1108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341215</w:t>
            </w:r>
          </w:p>
        </w:tc>
        <w:tc>
          <w:tcPr>
            <w:tcW w:w="5796" w:type="dxa"/>
          </w:tcPr>
          <w:p w:rsidR="004A0605" w:rsidRPr="00A12B5C" w:rsidRDefault="004A0605" w:rsidP="003A4C21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naknade plaće za noćni rad</w:t>
            </w:r>
          </w:p>
        </w:tc>
        <w:tc>
          <w:tcPr>
            <w:tcW w:w="1722" w:type="dxa"/>
          </w:tcPr>
          <w:p w:rsidR="004A0605" w:rsidRPr="00A12B5C" w:rsidRDefault="00F00DB8" w:rsidP="003A4C21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33.436,13</w:t>
            </w:r>
          </w:p>
        </w:tc>
      </w:tr>
      <w:tr w:rsidR="004A0605" w:rsidRPr="00A12B5C" w:rsidTr="00B372BD">
        <w:tc>
          <w:tcPr>
            <w:tcW w:w="662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8.</w:t>
            </w:r>
          </w:p>
        </w:tc>
        <w:tc>
          <w:tcPr>
            <w:tcW w:w="1108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341219</w:t>
            </w:r>
          </w:p>
        </w:tc>
        <w:tc>
          <w:tcPr>
            <w:tcW w:w="5796" w:type="dxa"/>
          </w:tcPr>
          <w:p w:rsidR="004A0605" w:rsidRPr="00A12B5C" w:rsidRDefault="004A0605" w:rsidP="003A4C21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Ostale naknade plaća</w:t>
            </w:r>
          </w:p>
        </w:tc>
        <w:tc>
          <w:tcPr>
            <w:tcW w:w="1722" w:type="dxa"/>
          </w:tcPr>
          <w:p w:rsidR="004A0605" w:rsidRPr="00A12B5C" w:rsidRDefault="00F00DB8" w:rsidP="003A4C21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3.381,74</w:t>
            </w:r>
          </w:p>
        </w:tc>
      </w:tr>
      <w:tr w:rsidR="004A0605" w:rsidRPr="00A12B5C" w:rsidTr="00B372BD">
        <w:tc>
          <w:tcPr>
            <w:tcW w:w="662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9.</w:t>
            </w:r>
          </w:p>
        </w:tc>
        <w:tc>
          <w:tcPr>
            <w:tcW w:w="1108" w:type="dxa"/>
          </w:tcPr>
          <w:p w:rsidR="004A0605" w:rsidRPr="00A12B5C" w:rsidRDefault="004A0605" w:rsidP="003A4C21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341311</w:t>
            </w:r>
          </w:p>
        </w:tc>
        <w:tc>
          <w:tcPr>
            <w:tcW w:w="5796" w:type="dxa"/>
          </w:tcPr>
          <w:p w:rsidR="004A0605" w:rsidRPr="00A12B5C" w:rsidRDefault="004A0605" w:rsidP="003A4C21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Porezi na plaće (zaostale obveze)</w:t>
            </w:r>
          </w:p>
        </w:tc>
        <w:tc>
          <w:tcPr>
            <w:tcW w:w="1722" w:type="dxa"/>
          </w:tcPr>
          <w:p w:rsidR="004A0605" w:rsidRPr="00A12B5C" w:rsidRDefault="00F00DB8" w:rsidP="003A4C21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869.068,63</w:t>
            </w:r>
          </w:p>
        </w:tc>
      </w:tr>
      <w:tr w:rsidR="00F265B5" w:rsidRPr="00F265B5" w:rsidTr="00D81AC9">
        <w:tc>
          <w:tcPr>
            <w:tcW w:w="662" w:type="dxa"/>
          </w:tcPr>
          <w:p w:rsidR="00F265B5" w:rsidRPr="00F265B5" w:rsidRDefault="00F265B5" w:rsidP="00D81AC9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08" w:type="dxa"/>
          </w:tcPr>
          <w:p w:rsidR="00F265B5" w:rsidRPr="00F265B5" w:rsidRDefault="00F265B5" w:rsidP="00D81AC9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5796" w:type="dxa"/>
          </w:tcPr>
          <w:p w:rsidR="00F265B5" w:rsidRPr="00F265B5" w:rsidRDefault="00F265B5" w:rsidP="00D81AC9">
            <w:pPr>
              <w:rPr>
                <w:i/>
                <w:iCs/>
                <w:sz w:val="22"/>
              </w:rPr>
            </w:pPr>
            <w:r w:rsidRPr="00F265B5">
              <w:rPr>
                <w:i/>
                <w:iCs/>
                <w:sz w:val="22"/>
              </w:rPr>
              <w:t xml:space="preserve">     o/t stare obveze</w:t>
            </w:r>
            <w:r>
              <w:rPr>
                <w:i/>
                <w:iCs/>
                <w:sz w:val="22"/>
              </w:rPr>
              <w:t>*</w:t>
            </w:r>
          </w:p>
        </w:tc>
        <w:tc>
          <w:tcPr>
            <w:tcW w:w="1722" w:type="dxa"/>
          </w:tcPr>
          <w:p w:rsidR="00F265B5" w:rsidRPr="00F265B5" w:rsidRDefault="00F265B5" w:rsidP="00D81AC9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869.068,63</w:t>
            </w:r>
          </w:p>
        </w:tc>
      </w:tr>
    </w:tbl>
    <w:p w:rsidR="00D17290" w:rsidRPr="00F265B5" w:rsidRDefault="00D17290" w:rsidP="00D17290">
      <w:pPr>
        <w:pStyle w:val="Tijeloteksta"/>
        <w:spacing w:after="0"/>
        <w:jc w:val="both"/>
        <w:rPr>
          <w:i/>
          <w:lang w:val="hr-HR"/>
        </w:rPr>
      </w:pPr>
      <w:r w:rsidRPr="00F265B5">
        <w:rPr>
          <w:i/>
          <w:lang w:val="hr-HR"/>
        </w:rPr>
        <w:lastRenderedPageBreak/>
        <w:t>(nastavak s prethodne stranice)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1108"/>
        <w:gridCol w:w="5796"/>
        <w:gridCol w:w="1722"/>
      </w:tblGrid>
      <w:tr w:rsidR="00D17290" w:rsidRPr="00A12B5C" w:rsidTr="003B5D93">
        <w:tc>
          <w:tcPr>
            <w:tcW w:w="662" w:type="dxa"/>
          </w:tcPr>
          <w:p w:rsidR="00D17290" w:rsidRPr="00A12B5C" w:rsidRDefault="00D17290" w:rsidP="003B5D93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RB</w:t>
            </w:r>
          </w:p>
        </w:tc>
        <w:tc>
          <w:tcPr>
            <w:tcW w:w="1108" w:type="dxa"/>
          </w:tcPr>
          <w:p w:rsidR="00D17290" w:rsidRPr="00A12B5C" w:rsidRDefault="00D17290" w:rsidP="003B5D93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Konto</w:t>
            </w:r>
          </w:p>
        </w:tc>
        <w:tc>
          <w:tcPr>
            <w:tcW w:w="5796" w:type="dxa"/>
          </w:tcPr>
          <w:p w:rsidR="00D17290" w:rsidRPr="00A12B5C" w:rsidRDefault="00D17290" w:rsidP="003B5D93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Naziv konta</w:t>
            </w:r>
          </w:p>
        </w:tc>
        <w:tc>
          <w:tcPr>
            <w:tcW w:w="1722" w:type="dxa"/>
          </w:tcPr>
          <w:p w:rsidR="00D17290" w:rsidRPr="00A12B5C" w:rsidRDefault="00D17290" w:rsidP="003B5D93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Iznos (KM)</w:t>
            </w:r>
          </w:p>
        </w:tc>
      </w:tr>
      <w:tr w:rsidR="00D17290" w:rsidRPr="00A12B5C" w:rsidTr="003B5D93">
        <w:tc>
          <w:tcPr>
            <w:tcW w:w="662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10.</w:t>
            </w:r>
          </w:p>
        </w:tc>
        <w:tc>
          <w:tcPr>
            <w:tcW w:w="1108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341321</w:t>
            </w:r>
          </w:p>
        </w:tc>
        <w:tc>
          <w:tcPr>
            <w:tcW w:w="5796" w:type="dxa"/>
          </w:tcPr>
          <w:p w:rsidR="00D17290" w:rsidRPr="00A12B5C" w:rsidRDefault="00D17290" w:rsidP="003B5D93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Doprinos mirovinskog i invalidskog osiguranja NTZ</w:t>
            </w:r>
          </w:p>
        </w:tc>
        <w:tc>
          <w:tcPr>
            <w:tcW w:w="1722" w:type="dxa"/>
          </w:tcPr>
          <w:p w:rsidR="00D17290" w:rsidRPr="00A12B5C" w:rsidRDefault="00D17290" w:rsidP="003B5D93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310.346,88</w:t>
            </w:r>
          </w:p>
        </w:tc>
      </w:tr>
      <w:tr w:rsidR="00D17290" w:rsidRPr="00F265B5" w:rsidTr="003B5D93">
        <w:tc>
          <w:tcPr>
            <w:tcW w:w="662" w:type="dxa"/>
          </w:tcPr>
          <w:p w:rsidR="00D17290" w:rsidRPr="00F265B5" w:rsidRDefault="00D17290" w:rsidP="003B5D93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08" w:type="dxa"/>
          </w:tcPr>
          <w:p w:rsidR="00D17290" w:rsidRPr="00F265B5" w:rsidRDefault="00D17290" w:rsidP="003B5D93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5796" w:type="dxa"/>
          </w:tcPr>
          <w:p w:rsidR="00D17290" w:rsidRPr="00F265B5" w:rsidRDefault="00D17290" w:rsidP="003B5D93">
            <w:pPr>
              <w:rPr>
                <w:i/>
                <w:iCs/>
                <w:sz w:val="22"/>
              </w:rPr>
            </w:pPr>
            <w:r w:rsidRPr="00F265B5">
              <w:rPr>
                <w:i/>
                <w:iCs/>
                <w:sz w:val="22"/>
              </w:rPr>
              <w:t xml:space="preserve">     o/t stare obveze</w:t>
            </w:r>
            <w:r>
              <w:rPr>
                <w:i/>
                <w:iCs/>
                <w:sz w:val="22"/>
              </w:rPr>
              <w:t>*</w:t>
            </w:r>
          </w:p>
        </w:tc>
        <w:tc>
          <w:tcPr>
            <w:tcW w:w="1722" w:type="dxa"/>
          </w:tcPr>
          <w:p w:rsidR="00D17290" w:rsidRPr="00F265B5" w:rsidRDefault="00D17290" w:rsidP="003B5D9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54.714,67</w:t>
            </w:r>
          </w:p>
        </w:tc>
      </w:tr>
      <w:tr w:rsidR="00D17290" w:rsidRPr="00A12B5C" w:rsidTr="003B5D93">
        <w:tc>
          <w:tcPr>
            <w:tcW w:w="662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11.</w:t>
            </w:r>
          </w:p>
        </w:tc>
        <w:tc>
          <w:tcPr>
            <w:tcW w:w="1108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341322</w:t>
            </w:r>
          </w:p>
        </w:tc>
        <w:tc>
          <w:tcPr>
            <w:tcW w:w="5796" w:type="dxa"/>
          </w:tcPr>
          <w:p w:rsidR="00D17290" w:rsidRPr="00A12B5C" w:rsidRDefault="00D17290" w:rsidP="003B5D93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Doprinos za zdravstveno osiguranje NTZ</w:t>
            </w:r>
          </w:p>
        </w:tc>
        <w:tc>
          <w:tcPr>
            <w:tcW w:w="1722" w:type="dxa"/>
          </w:tcPr>
          <w:p w:rsidR="00D17290" w:rsidRPr="00A12B5C" w:rsidRDefault="00D17290" w:rsidP="003B5D93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186.390,94</w:t>
            </w:r>
          </w:p>
        </w:tc>
      </w:tr>
      <w:tr w:rsidR="00D17290" w:rsidRPr="00F265B5" w:rsidTr="003B5D93">
        <w:tc>
          <w:tcPr>
            <w:tcW w:w="662" w:type="dxa"/>
          </w:tcPr>
          <w:p w:rsidR="00D17290" w:rsidRPr="00F265B5" w:rsidRDefault="00D17290" w:rsidP="003B5D93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08" w:type="dxa"/>
          </w:tcPr>
          <w:p w:rsidR="00D17290" w:rsidRPr="00F265B5" w:rsidRDefault="00D17290" w:rsidP="003B5D93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5796" w:type="dxa"/>
          </w:tcPr>
          <w:p w:rsidR="00D17290" w:rsidRPr="00F265B5" w:rsidRDefault="00D17290" w:rsidP="003B5D93">
            <w:pPr>
              <w:rPr>
                <w:i/>
                <w:iCs/>
                <w:sz w:val="22"/>
              </w:rPr>
            </w:pPr>
            <w:r w:rsidRPr="00F265B5">
              <w:rPr>
                <w:i/>
                <w:iCs/>
                <w:sz w:val="22"/>
              </w:rPr>
              <w:t xml:space="preserve">     o/t stare obveze</w:t>
            </w:r>
            <w:r>
              <w:rPr>
                <w:i/>
                <w:iCs/>
                <w:sz w:val="22"/>
              </w:rPr>
              <w:t>*</w:t>
            </w:r>
          </w:p>
        </w:tc>
        <w:tc>
          <w:tcPr>
            <w:tcW w:w="1722" w:type="dxa"/>
          </w:tcPr>
          <w:p w:rsidR="00D17290" w:rsidRPr="00F265B5" w:rsidRDefault="00D17290" w:rsidP="003B5D9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194,68</w:t>
            </w:r>
          </w:p>
        </w:tc>
      </w:tr>
      <w:tr w:rsidR="00D17290" w:rsidRPr="00A12B5C" w:rsidTr="003B5D93">
        <w:tc>
          <w:tcPr>
            <w:tcW w:w="662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12.</w:t>
            </w:r>
          </w:p>
        </w:tc>
        <w:tc>
          <w:tcPr>
            <w:tcW w:w="1108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341323</w:t>
            </w:r>
          </w:p>
        </w:tc>
        <w:tc>
          <w:tcPr>
            <w:tcW w:w="5796" w:type="dxa"/>
          </w:tcPr>
          <w:p w:rsidR="00D17290" w:rsidRPr="00A12B5C" w:rsidRDefault="00D17290" w:rsidP="003B5D93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Doprinos za zapošljavanje NT</w:t>
            </w:r>
            <w:r>
              <w:rPr>
                <w:iCs/>
                <w:sz w:val="22"/>
              </w:rPr>
              <w:t>Z</w:t>
            </w:r>
          </w:p>
        </w:tc>
        <w:tc>
          <w:tcPr>
            <w:tcW w:w="1722" w:type="dxa"/>
          </w:tcPr>
          <w:p w:rsidR="00D17290" w:rsidRPr="00A12B5C" w:rsidRDefault="00D17290" w:rsidP="003B5D93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71.478,54</w:t>
            </w:r>
          </w:p>
        </w:tc>
      </w:tr>
      <w:tr w:rsidR="00D17290" w:rsidRPr="00F265B5" w:rsidTr="003B5D93">
        <w:tc>
          <w:tcPr>
            <w:tcW w:w="662" w:type="dxa"/>
          </w:tcPr>
          <w:p w:rsidR="00D17290" w:rsidRPr="00F265B5" w:rsidRDefault="00D17290" w:rsidP="003B5D93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08" w:type="dxa"/>
          </w:tcPr>
          <w:p w:rsidR="00D17290" w:rsidRPr="00F265B5" w:rsidRDefault="00D17290" w:rsidP="003B5D93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5796" w:type="dxa"/>
          </w:tcPr>
          <w:p w:rsidR="00D17290" w:rsidRPr="00F265B5" w:rsidRDefault="00D17290" w:rsidP="003B5D93">
            <w:pPr>
              <w:rPr>
                <w:i/>
                <w:iCs/>
                <w:sz w:val="22"/>
              </w:rPr>
            </w:pPr>
            <w:r w:rsidRPr="00F265B5">
              <w:rPr>
                <w:i/>
                <w:iCs/>
                <w:sz w:val="22"/>
              </w:rPr>
              <w:t xml:space="preserve">     o/t stare obveze</w:t>
            </w:r>
            <w:r>
              <w:rPr>
                <w:i/>
                <w:iCs/>
                <w:sz w:val="22"/>
              </w:rPr>
              <w:t>*</w:t>
            </w:r>
          </w:p>
        </w:tc>
        <w:tc>
          <w:tcPr>
            <w:tcW w:w="1722" w:type="dxa"/>
          </w:tcPr>
          <w:p w:rsidR="00D17290" w:rsidRPr="00F265B5" w:rsidRDefault="00D17290" w:rsidP="003B5D9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49.111,62</w:t>
            </w:r>
          </w:p>
        </w:tc>
      </w:tr>
      <w:tr w:rsidR="00D17290" w:rsidRPr="00A12B5C" w:rsidTr="003B5D93">
        <w:tc>
          <w:tcPr>
            <w:tcW w:w="662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13.</w:t>
            </w:r>
          </w:p>
        </w:tc>
        <w:tc>
          <w:tcPr>
            <w:tcW w:w="1108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341331</w:t>
            </w:r>
          </w:p>
        </w:tc>
        <w:tc>
          <w:tcPr>
            <w:tcW w:w="5796" w:type="dxa"/>
          </w:tcPr>
          <w:p w:rsidR="00D17290" w:rsidRPr="00A12B5C" w:rsidRDefault="00D17290" w:rsidP="003B5D93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Doprinos mirovinskog i invalidskog o</w:t>
            </w:r>
            <w:r>
              <w:rPr>
                <w:iCs/>
                <w:sz w:val="22"/>
              </w:rPr>
              <w:t>siguranja NTP</w:t>
            </w:r>
          </w:p>
        </w:tc>
        <w:tc>
          <w:tcPr>
            <w:tcW w:w="1722" w:type="dxa"/>
          </w:tcPr>
          <w:p w:rsidR="00D17290" w:rsidRPr="00A12B5C" w:rsidRDefault="00D17290" w:rsidP="003B5D93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128.429,03</w:t>
            </w:r>
          </w:p>
        </w:tc>
      </w:tr>
      <w:tr w:rsidR="00D17290" w:rsidRPr="00F265B5" w:rsidTr="003B5D93">
        <w:tc>
          <w:tcPr>
            <w:tcW w:w="662" w:type="dxa"/>
          </w:tcPr>
          <w:p w:rsidR="00D17290" w:rsidRPr="00F265B5" w:rsidRDefault="00D17290" w:rsidP="003B5D93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08" w:type="dxa"/>
          </w:tcPr>
          <w:p w:rsidR="00D17290" w:rsidRPr="00F265B5" w:rsidRDefault="00D17290" w:rsidP="003B5D93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5796" w:type="dxa"/>
          </w:tcPr>
          <w:p w:rsidR="00D17290" w:rsidRPr="00F265B5" w:rsidRDefault="00D17290" w:rsidP="003B5D93">
            <w:pPr>
              <w:rPr>
                <w:i/>
                <w:iCs/>
                <w:sz w:val="22"/>
              </w:rPr>
            </w:pPr>
            <w:r w:rsidRPr="00F265B5">
              <w:rPr>
                <w:i/>
                <w:iCs/>
                <w:sz w:val="22"/>
              </w:rPr>
              <w:t xml:space="preserve">     o/t stare obveze</w:t>
            </w:r>
            <w:r>
              <w:rPr>
                <w:i/>
                <w:iCs/>
                <w:sz w:val="22"/>
              </w:rPr>
              <w:t>*</w:t>
            </w:r>
          </w:p>
        </w:tc>
        <w:tc>
          <w:tcPr>
            <w:tcW w:w="1722" w:type="dxa"/>
          </w:tcPr>
          <w:p w:rsidR="00D17290" w:rsidRPr="00F265B5" w:rsidRDefault="00D17290" w:rsidP="003B5D9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37.379,92</w:t>
            </w:r>
          </w:p>
        </w:tc>
      </w:tr>
      <w:tr w:rsidR="00D17290" w:rsidRPr="00A12B5C" w:rsidTr="003B5D93">
        <w:tc>
          <w:tcPr>
            <w:tcW w:w="662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14.</w:t>
            </w:r>
          </w:p>
        </w:tc>
        <w:tc>
          <w:tcPr>
            <w:tcW w:w="1108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341332</w:t>
            </w:r>
          </w:p>
        </w:tc>
        <w:tc>
          <w:tcPr>
            <w:tcW w:w="5796" w:type="dxa"/>
          </w:tcPr>
          <w:p w:rsidR="00D17290" w:rsidRPr="00A12B5C" w:rsidRDefault="00D17290" w:rsidP="003B5D93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Doprinos za zdravstveno osiguranje NTP</w:t>
            </w:r>
          </w:p>
        </w:tc>
        <w:tc>
          <w:tcPr>
            <w:tcW w:w="1722" w:type="dxa"/>
          </w:tcPr>
          <w:p w:rsidR="00D17290" w:rsidRPr="00A12B5C" w:rsidRDefault="00D17290" w:rsidP="003B5D93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59.839,82</w:t>
            </w:r>
          </w:p>
        </w:tc>
      </w:tr>
      <w:tr w:rsidR="00D17290" w:rsidRPr="00A12B5C" w:rsidTr="003B5D93">
        <w:tc>
          <w:tcPr>
            <w:tcW w:w="662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15.</w:t>
            </w:r>
          </w:p>
        </w:tc>
        <w:tc>
          <w:tcPr>
            <w:tcW w:w="1108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341333</w:t>
            </w:r>
          </w:p>
        </w:tc>
        <w:tc>
          <w:tcPr>
            <w:tcW w:w="5796" w:type="dxa"/>
          </w:tcPr>
          <w:p w:rsidR="00D17290" w:rsidRPr="00A12B5C" w:rsidRDefault="00D17290" w:rsidP="003B5D93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Doprinos za zapošljavanje NTP</w:t>
            </w:r>
          </w:p>
        </w:tc>
        <w:tc>
          <w:tcPr>
            <w:tcW w:w="1722" w:type="dxa"/>
          </w:tcPr>
          <w:p w:rsidR="00D17290" w:rsidRPr="00A12B5C" w:rsidRDefault="00D17290" w:rsidP="003B5D93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19.685,57</w:t>
            </w:r>
          </w:p>
        </w:tc>
      </w:tr>
      <w:tr w:rsidR="00D17290" w:rsidRPr="00F265B5" w:rsidTr="003B5D93">
        <w:tc>
          <w:tcPr>
            <w:tcW w:w="662" w:type="dxa"/>
          </w:tcPr>
          <w:p w:rsidR="00D17290" w:rsidRPr="00F265B5" w:rsidRDefault="00D17290" w:rsidP="003B5D93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08" w:type="dxa"/>
          </w:tcPr>
          <w:p w:rsidR="00D17290" w:rsidRPr="00F265B5" w:rsidRDefault="00D17290" w:rsidP="003B5D93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5796" w:type="dxa"/>
          </w:tcPr>
          <w:p w:rsidR="00D17290" w:rsidRPr="00F265B5" w:rsidRDefault="00D17290" w:rsidP="003B5D93">
            <w:pPr>
              <w:rPr>
                <w:i/>
                <w:iCs/>
                <w:sz w:val="22"/>
              </w:rPr>
            </w:pPr>
            <w:r w:rsidRPr="00F265B5">
              <w:rPr>
                <w:i/>
                <w:iCs/>
                <w:sz w:val="22"/>
              </w:rPr>
              <w:t xml:space="preserve">     o/t stare obveze</w:t>
            </w:r>
            <w:r>
              <w:rPr>
                <w:i/>
                <w:iCs/>
                <w:sz w:val="22"/>
              </w:rPr>
              <w:t>*</w:t>
            </w:r>
          </w:p>
        </w:tc>
        <w:tc>
          <w:tcPr>
            <w:tcW w:w="1722" w:type="dxa"/>
          </w:tcPr>
          <w:p w:rsidR="00D17290" w:rsidRPr="00F265B5" w:rsidRDefault="00D17290" w:rsidP="003B5D93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12.229,91</w:t>
            </w:r>
          </w:p>
        </w:tc>
      </w:tr>
      <w:tr w:rsidR="00D17290" w:rsidRPr="00A12B5C" w:rsidTr="003B5D93">
        <w:tc>
          <w:tcPr>
            <w:tcW w:w="662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16.</w:t>
            </w:r>
          </w:p>
        </w:tc>
        <w:tc>
          <w:tcPr>
            <w:tcW w:w="1108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341339</w:t>
            </w:r>
          </w:p>
        </w:tc>
        <w:tc>
          <w:tcPr>
            <w:tcW w:w="5796" w:type="dxa"/>
          </w:tcPr>
          <w:p w:rsidR="00D17290" w:rsidRPr="00A12B5C" w:rsidRDefault="00D17290" w:rsidP="003B5D93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Ostali doprinosi NTP</w:t>
            </w:r>
          </w:p>
        </w:tc>
        <w:tc>
          <w:tcPr>
            <w:tcW w:w="1722" w:type="dxa"/>
          </w:tcPr>
          <w:p w:rsidR="00D17290" w:rsidRPr="00A12B5C" w:rsidRDefault="00D17290" w:rsidP="003B5D93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28.148,02</w:t>
            </w:r>
          </w:p>
        </w:tc>
      </w:tr>
      <w:tr w:rsidR="00D17290" w:rsidRPr="00A12B5C" w:rsidTr="003B5D93">
        <w:tc>
          <w:tcPr>
            <w:tcW w:w="662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17.</w:t>
            </w:r>
          </w:p>
        </w:tc>
        <w:tc>
          <w:tcPr>
            <w:tcW w:w="1108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341432</w:t>
            </w:r>
          </w:p>
        </w:tc>
        <w:tc>
          <w:tcPr>
            <w:tcW w:w="5796" w:type="dxa"/>
          </w:tcPr>
          <w:p w:rsidR="00D17290" w:rsidRPr="00A12B5C" w:rsidRDefault="00D17290" w:rsidP="003B5D93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Obveze za prijevoz</w:t>
            </w:r>
          </w:p>
        </w:tc>
        <w:tc>
          <w:tcPr>
            <w:tcW w:w="1722" w:type="dxa"/>
          </w:tcPr>
          <w:p w:rsidR="00D17290" w:rsidRPr="00A12B5C" w:rsidRDefault="00D17290" w:rsidP="003B5D93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69.938,10</w:t>
            </w:r>
          </w:p>
        </w:tc>
      </w:tr>
      <w:tr w:rsidR="00D17290" w:rsidRPr="00A12B5C" w:rsidTr="003B5D93">
        <w:tc>
          <w:tcPr>
            <w:tcW w:w="662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18.</w:t>
            </w:r>
          </w:p>
        </w:tc>
        <w:tc>
          <w:tcPr>
            <w:tcW w:w="1108" w:type="dxa"/>
          </w:tcPr>
          <w:p w:rsidR="00D17290" w:rsidRPr="00A12B5C" w:rsidRDefault="00D17290" w:rsidP="003B5D93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341435</w:t>
            </w:r>
          </w:p>
        </w:tc>
        <w:tc>
          <w:tcPr>
            <w:tcW w:w="5796" w:type="dxa"/>
          </w:tcPr>
          <w:p w:rsidR="00D17290" w:rsidRPr="00A12B5C" w:rsidRDefault="00D17290" w:rsidP="003B5D93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Topli obrok tijekom rada</w:t>
            </w:r>
          </w:p>
        </w:tc>
        <w:tc>
          <w:tcPr>
            <w:tcW w:w="1722" w:type="dxa"/>
          </w:tcPr>
          <w:p w:rsidR="00D17290" w:rsidRPr="00A12B5C" w:rsidRDefault="00D17290" w:rsidP="003B5D93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163.330,00</w:t>
            </w:r>
          </w:p>
        </w:tc>
      </w:tr>
      <w:tr w:rsidR="00F265B5" w:rsidRPr="00A12B5C" w:rsidTr="00D81AC9">
        <w:tc>
          <w:tcPr>
            <w:tcW w:w="662" w:type="dxa"/>
          </w:tcPr>
          <w:p w:rsidR="00F265B5" w:rsidRPr="00A12B5C" w:rsidRDefault="00F265B5" w:rsidP="00D81AC9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19.</w:t>
            </w:r>
          </w:p>
        </w:tc>
        <w:tc>
          <w:tcPr>
            <w:tcW w:w="1108" w:type="dxa"/>
          </w:tcPr>
          <w:p w:rsidR="00F265B5" w:rsidRPr="00A12B5C" w:rsidRDefault="00F265B5" w:rsidP="00D81AC9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341436</w:t>
            </w:r>
          </w:p>
        </w:tc>
        <w:tc>
          <w:tcPr>
            <w:tcW w:w="5796" w:type="dxa"/>
          </w:tcPr>
          <w:p w:rsidR="00F265B5" w:rsidRPr="00A12B5C" w:rsidRDefault="00F265B5" w:rsidP="00D81AC9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Regres</w:t>
            </w:r>
          </w:p>
        </w:tc>
        <w:tc>
          <w:tcPr>
            <w:tcW w:w="1722" w:type="dxa"/>
          </w:tcPr>
          <w:p w:rsidR="00F265B5" w:rsidRPr="00A12B5C" w:rsidRDefault="00F265B5" w:rsidP="00D81AC9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456,00</w:t>
            </w:r>
          </w:p>
        </w:tc>
      </w:tr>
      <w:tr w:rsidR="00F265B5" w:rsidRPr="00A12B5C" w:rsidTr="00D81AC9">
        <w:tc>
          <w:tcPr>
            <w:tcW w:w="662" w:type="dxa"/>
          </w:tcPr>
          <w:p w:rsidR="00F265B5" w:rsidRPr="00A12B5C" w:rsidRDefault="00F265B5" w:rsidP="00D81AC9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20.</w:t>
            </w:r>
          </w:p>
        </w:tc>
        <w:tc>
          <w:tcPr>
            <w:tcW w:w="1108" w:type="dxa"/>
          </w:tcPr>
          <w:p w:rsidR="00F265B5" w:rsidRPr="00A12B5C" w:rsidRDefault="00F265B5" w:rsidP="00D81AC9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341437</w:t>
            </w:r>
          </w:p>
        </w:tc>
        <w:tc>
          <w:tcPr>
            <w:tcW w:w="5796" w:type="dxa"/>
          </w:tcPr>
          <w:p w:rsidR="00F265B5" w:rsidRPr="00A12B5C" w:rsidRDefault="00F265B5" w:rsidP="00D81AC9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Otpremnine</w:t>
            </w:r>
          </w:p>
        </w:tc>
        <w:tc>
          <w:tcPr>
            <w:tcW w:w="1722" w:type="dxa"/>
          </w:tcPr>
          <w:p w:rsidR="00F265B5" w:rsidRPr="00A12B5C" w:rsidRDefault="00F265B5" w:rsidP="00D81AC9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32.338,26</w:t>
            </w:r>
          </w:p>
        </w:tc>
      </w:tr>
      <w:tr w:rsidR="00F265B5" w:rsidRPr="00A12B5C" w:rsidTr="00D81AC9">
        <w:tc>
          <w:tcPr>
            <w:tcW w:w="662" w:type="dxa"/>
          </w:tcPr>
          <w:p w:rsidR="00F265B5" w:rsidRPr="00A12B5C" w:rsidRDefault="00F265B5" w:rsidP="00D81AC9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21</w:t>
            </w:r>
            <w:r w:rsidRPr="00A12B5C">
              <w:rPr>
                <w:iCs/>
                <w:sz w:val="22"/>
              </w:rPr>
              <w:t>.</w:t>
            </w:r>
          </w:p>
        </w:tc>
        <w:tc>
          <w:tcPr>
            <w:tcW w:w="1108" w:type="dxa"/>
          </w:tcPr>
          <w:p w:rsidR="00F265B5" w:rsidRPr="00A12B5C" w:rsidRDefault="00F265B5" w:rsidP="00D81AC9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341438</w:t>
            </w:r>
          </w:p>
        </w:tc>
        <w:tc>
          <w:tcPr>
            <w:tcW w:w="5796" w:type="dxa"/>
          </w:tcPr>
          <w:p w:rsidR="00F265B5" w:rsidRPr="00A12B5C" w:rsidRDefault="00F265B5" w:rsidP="00D81AC9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 xml:space="preserve">Jubilarne nagrade, darovi i </w:t>
            </w:r>
            <w:proofErr w:type="spellStart"/>
            <w:r w:rsidRPr="00A12B5C">
              <w:rPr>
                <w:iCs/>
                <w:sz w:val="22"/>
              </w:rPr>
              <w:t>sl</w:t>
            </w:r>
            <w:proofErr w:type="spellEnd"/>
            <w:r w:rsidRPr="00A12B5C">
              <w:rPr>
                <w:iCs/>
                <w:sz w:val="22"/>
              </w:rPr>
              <w:t>.</w:t>
            </w:r>
          </w:p>
        </w:tc>
        <w:tc>
          <w:tcPr>
            <w:tcW w:w="1722" w:type="dxa"/>
          </w:tcPr>
          <w:p w:rsidR="00F265B5" w:rsidRPr="00A12B5C" w:rsidRDefault="00F265B5" w:rsidP="00D81AC9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10.579,00</w:t>
            </w:r>
          </w:p>
        </w:tc>
      </w:tr>
      <w:tr w:rsidR="00F265B5" w:rsidRPr="00A12B5C" w:rsidTr="00D81AC9">
        <w:tc>
          <w:tcPr>
            <w:tcW w:w="662" w:type="dxa"/>
          </w:tcPr>
          <w:p w:rsidR="00F265B5" w:rsidRPr="00A12B5C" w:rsidRDefault="00F265B5" w:rsidP="00D81AC9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22</w:t>
            </w:r>
            <w:r w:rsidRPr="00A12B5C">
              <w:rPr>
                <w:iCs/>
                <w:sz w:val="22"/>
              </w:rPr>
              <w:t>.</w:t>
            </w:r>
          </w:p>
        </w:tc>
        <w:tc>
          <w:tcPr>
            <w:tcW w:w="1108" w:type="dxa"/>
          </w:tcPr>
          <w:p w:rsidR="00F265B5" w:rsidRPr="00A12B5C" w:rsidRDefault="00F265B5" w:rsidP="00D81AC9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341439</w:t>
            </w:r>
          </w:p>
        </w:tc>
        <w:tc>
          <w:tcPr>
            <w:tcW w:w="5796" w:type="dxa"/>
          </w:tcPr>
          <w:p w:rsidR="00F265B5" w:rsidRPr="00A12B5C" w:rsidRDefault="00F265B5" w:rsidP="00D81AC9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Pomoć u slučaju smrti i teže bolesti</w:t>
            </w:r>
          </w:p>
        </w:tc>
        <w:tc>
          <w:tcPr>
            <w:tcW w:w="1722" w:type="dxa"/>
          </w:tcPr>
          <w:p w:rsidR="00F265B5" w:rsidRPr="00A12B5C" w:rsidRDefault="00F265B5" w:rsidP="00D81AC9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24.001,00</w:t>
            </w:r>
          </w:p>
        </w:tc>
      </w:tr>
      <w:tr w:rsidR="00F265B5" w:rsidRPr="00A12B5C" w:rsidTr="00D81AC9">
        <w:tc>
          <w:tcPr>
            <w:tcW w:w="662" w:type="dxa"/>
          </w:tcPr>
          <w:p w:rsidR="00F265B5" w:rsidRPr="00A12B5C" w:rsidRDefault="00F265B5" w:rsidP="00D81AC9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23</w:t>
            </w:r>
            <w:r w:rsidRPr="00A12B5C">
              <w:rPr>
                <w:iCs/>
                <w:sz w:val="22"/>
              </w:rPr>
              <w:t>.</w:t>
            </w:r>
          </w:p>
        </w:tc>
        <w:tc>
          <w:tcPr>
            <w:tcW w:w="1108" w:type="dxa"/>
          </w:tcPr>
          <w:p w:rsidR="00F265B5" w:rsidRPr="00A12B5C" w:rsidRDefault="00F265B5" w:rsidP="00D81AC9">
            <w:pPr>
              <w:jc w:val="center"/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341461</w:t>
            </w:r>
          </w:p>
        </w:tc>
        <w:tc>
          <w:tcPr>
            <w:tcW w:w="5796" w:type="dxa"/>
          </w:tcPr>
          <w:p w:rsidR="00F265B5" w:rsidRPr="00A12B5C" w:rsidRDefault="00F265B5" w:rsidP="00D81AC9">
            <w:pPr>
              <w:rPr>
                <w:iCs/>
                <w:sz w:val="22"/>
              </w:rPr>
            </w:pPr>
            <w:r w:rsidRPr="00A12B5C">
              <w:rPr>
                <w:iCs/>
                <w:sz w:val="22"/>
              </w:rPr>
              <w:t>Akontacija poreza na dohodak</w:t>
            </w:r>
          </w:p>
        </w:tc>
        <w:tc>
          <w:tcPr>
            <w:tcW w:w="1722" w:type="dxa"/>
          </w:tcPr>
          <w:p w:rsidR="00F265B5" w:rsidRPr="00A12B5C" w:rsidRDefault="00F265B5" w:rsidP="00D81AC9">
            <w:pPr>
              <w:jc w:val="right"/>
              <w:rPr>
                <w:iCs/>
                <w:sz w:val="22"/>
              </w:rPr>
            </w:pPr>
            <w:r>
              <w:rPr>
                <w:iCs/>
                <w:sz w:val="22"/>
              </w:rPr>
              <w:t>59.799,18</w:t>
            </w:r>
          </w:p>
        </w:tc>
      </w:tr>
      <w:tr w:rsidR="00F265B5" w:rsidRPr="00A12B5C" w:rsidTr="00D81AC9">
        <w:tc>
          <w:tcPr>
            <w:tcW w:w="662" w:type="dxa"/>
          </w:tcPr>
          <w:p w:rsidR="00F265B5" w:rsidRPr="00A12B5C" w:rsidRDefault="00F265B5" w:rsidP="00D81AC9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1108" w:type="dxa"/>
          </w:tcPr>
          <w:p w:rsidR="00F265B5" w:rsidRPr="00A12B5C" w:rsidRDefault="00F265B5" w:rsidP="00D81AC9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796" w:type="dxa"/>
          </w:tcPr>
          <w:p w:rsidR="00F265B5" w:rsidRPr="00A12B5C" w:rsidRDefault="00F265B5" w:rsidP="00D81AC9">
            <w:pPr>
              <w:rPr>
                <w:b/>
                <w:bCs/>
                <w:iCs/>
                <w:sz w:val="22"/>
              </w:rPr>
            </w:pPr>
            <w:r w:rsidRPr="00A12B5C">
              <w:rPr>
                <w:b/>
                <w:bCs/>
                <w:iCs/>
                <w:sz w:val="22"/>
              </w:rPr>
              <w:t>UKUPNO:</w:t>
            </w:r>
          </w:p>
        </w:tc>
        <w:tc>
          <w:tcPr>
            <w:tcW w:w="1722" w:type="dxa"/>
          </w:tcPr>
          <w:p w:rsidR="00F265B5" w:rsidRPr="00A12B5C" w:rsidRDefault="00F2547B" w:rsidP="00D81AC9">
            <w:pPr>
              <w:jc w:val="righ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fldChar w:fldCharType="begin"/>
            </w:r>
            <w:r w:rsidR="00F265B5">
              <w:rPr>
                <w:b/>
                <w:bCs/>
                <w:iCs/>
                <w:sz w:val="22"/>
              </w:rPr>
              <w:instrText xml:space="preserve"> =SUM(ABOVE) </w:instrText>
            </w:r>
            <w:r>
              <w:rPr>
                <w:b/>
                <w:bCs/>
                <w:iCs/>
                <w:sz w:val="22"/>
              </w:rPr>
              <w:fldChar w:fldCharType="separate"/>
            </w:r>
            <w:r w:rsidR="00F265B5">
              <w:rPr>
                <w:b/>
                <w:bCs/>
                <w:iCs/>
                <w:noProof/>
                <w:sz w:val="22"/>
              </w:rPr>
              <w:t>2.978.982,19</w:t>
            </w:r>
            <w:r>
              <w:rPr>
                <w:b/>
                <w:bCs/>
                <w:iCs/>
                <w:sz w:val="22"/>
              </w:rPr>
              <w:fldChar w:fldCharType="end"/>
            </w:r>
          </w:p>
        </w:tc>
      </w:tr>
    </w:tbl>
    <w:p w:rsidR="00F265B5" w:rsidRDefault="00F265B5" w:rsidP="00F265B5">
      <w:pPr>
        <w:pStyle w:val="Tijeloteksta"/>
        <w:spacing w:after="0"/>
        <w:jc w:val="both"/>
        <w:rPr>
          <w:lang w:val="hr-HR"/>
        </w:rPr>
      </w:pPr>
    </w:p>
    <w:p w:rsidR="004270A0" w:rsidRPr="00A12B5C" w:rsidRDefault="004A0605" w:rsidP="00F265B5">
      <w:pPr>
        <w:pStyle w:val="Tijeloteksta"/>
        <w:spacing w:after="0"/>
        <w:jc w:val="both"/>
        <w:rPr>
          <w:lang w:val="hr-HR"/>
        </w:rPr>
      </w:pPr>
      <w:r w:rsidRPr="00F265B5">
        <w:rPr>
          <w:lang w:val="hr-HR"/>
        </w:rPr>
        <w:t>Iskazane obveze prema radnicima odnose se na neizmirene obveze za plaće i naknade troškova zaposlenih, naknade troškova volontera</w:t>
      </w:r>
      <w:r w:rsidR="001032D3" w:rsidRPr="00F265B5">
        <w:rPr>
          <w:lang w:val="hr-HR"/>
        </w:rPr>
        <w:t>,</w:t>
      </w:r>
      <w:r w:rsidRPr="00F265B5">
        <w:rPr>
          <w:lang w:val="hr-HR"/>
        </w:rPr>
        <w:t xml:space="preserve"> te poreze i doprinose za prosinac 201</w:t>
      </w:r>
      <w:r w:rsidR="00F00DB8" w:rsidRPr="00F265B5">
        <w:rPr>
          <w:lang w:val="hr-HR"/>
        </w:rPr>
        <w:t>9</w:t>
      </w:r>
      <w:r w:rsidRPr="00F265B5">
        <w:rPr>
          <w:lang w:val="hr-HR"/>
        </w:rPr>
        <w:t xml:space="preserve">. godine. U </w:t>
      </w:r>
      <w:r w:rsidR="00B372BD" w:rsidRPr="00F265B5">
        <w:rPr>
          <w:lang w:val="hr-HR"/>
        </w:rPr>
        <w:t>ukupnom iznosu</w:t>
      </w:r>
      <w:r w:rsidRPr="00F265B5">
        <w:rPr>
          <w:lang w:val="hr-HR"/>
        </w:rPr>
        <w:t xml:space="preserve"> uključen je i dio neizmirenih obveza koji se odnosi na stare obveze za poreze i doprinose zaposlenih iz razdoblja 1999.-siječanj 2003. godine,  kada su porezi i doprinosi uplaćivani na minimalne plaće, a plaće su isplaćivane prema važećim aktima u punom iznosu, i koje su prilikom prelaska na sustav Riznice unesene izravno u Glavnu knjigu Riznice. Stare obveze po osnovi doprinosa za mirovinsko i invalidsko osiguranje periodički se umanjuju po pojedinom proračunskom korisniku s odlaskom zaposlenika u mirovinu.</w:t>
      </w:r>
      <w:r w:rsidR="00496A03" w:rsidRPr="00F265B5">
        <w:rPr>
          <w:lang w:val="hr-HR"/>
        </w:rPr>
        <w:t xml:space="preserve"> Ukupne </w:t>
      </w:r>
      <w:r w:rsidR="004270A0" w:rsidRPr="00F265B5">
        <w:rPr>
          <w:lang w:val="hr-HR"/>
        </w:rPr>
        <w:t xml:space="preserve">navedene </w:t>
      </w:r>
      <w:r w:rsidR="00496A03" w:rsidRPr="00F265B5">
        <w:rPr>
          <w:lang w:val="hr-HR"/>
        </w:rPr>
        <w:t>neizmirene obveze</w:t>
      </w:r>
      <w:r w:rsidR="004270A0" w:rsidRPr="00F265B5">
        <w:rPr>
          <w:lang w:val="hr-HR"/>
        </w:rPr>
        <w:t xml:space="preserve"> na 31.12.2019. godine iznose 1.022.505 KM</w:t>
      </w:r>
      <w:r w:rsidR="00F265B5" w:rsidRPr="00F265B5">
        <w:rPr>
          <w:lang w:val="hr-HR"/>
        </w:rPr>
        <w:t>.</w:t>
      </w:r>
    </w:p>
    <w:p w:rsidR="00B372BD" w:rsidRPr="00A12B5C" w:rsidRDefault="00B372BD" w:rsidP="00FB1527">
      <w:pPr>
        <w:pStyle w:val="Podnoje"/>
        <w:tabs>
          <w:tab w:val="clear" w:pos="4536"/>
          <w:tab w:val="clear" w:pos="9072"/>
        </w:tabs>
        <w:rPr>
          <w:b/>
          <w:bCs/>
          <w:iCs/>
        </w:rPr>
      </w:pPr>
    </w:p>
    <w:p w:rsidR="00FB1527" w:rsidRPr="00A12B5C" w:rsidRDefault="00FB1527" w:rsidP="00FB1527">
      <w:pPr>
        <w:pStyle w:val="Podnoje"/>
        <w:tabs>
          <w:tab w:val="clear" w:pos="4536"/>
          <w:tab w:val="clear" w:pos="9072"/>
        </w:tabs>
        <w:rPr>
          <w:b/>
          <w:bCs/>
          <w:iCs/>
        </w:rPr>
      </w:pPr>
      <w:r w:rsidRPr="00A12B5C">
        <w:rPr>
          <w:b/>
          <w:bCs/>
          <w:iCs/>
        </w:rPr>
        <w:t>Kratkoročna razgraničenja – glavna kategorija 39</w:t>
      </w:r>
    </w:p>
    <w:p w:rsidR="00FB1527" w:rsidRPr="00A12B5C" w:rsidRDefault="00FB1527" w:rsidP="00FB1527">
      <w:pPr>
        <w:pStyle w:val="Tekstbalonia1"/>
        <w:rPr>
          <w:rFonts w:ascii="Times New Roman" w:hAnsi="Times New Roman" w:cs="Times New Roman"/>
          <w:iCs/>
          <w:szCs w:val="20"/>
          <w:lang w:val="hr-HR"/>
        </w:rPr>
      </w:pPr>
    </w:p>
    <w:p w:rsidR="00FB1527" w:rsidRPr="00A12B5C" w:rsidRDefault="00FB1527" w:rsidP="00AD006E">
      <w:pPr>
        <w:pStyle w:val="Tijeloteksta"/>
        <w:jc w:val="both"/>
        <w:rPr>
          <w:iCs/>
          <w:lang w:val="hr-HR"/>
        </w:rPr>
      </w:pPr>
      <w:r w:rsidRPr="00A12B5C">
        <w:rPr>
          <w:iCs/>
          <w:lang w:val="hr-HR"/>
        </w:rPr>
        <w:t xml:space="preserve">Stanje na glavnoj kategoriji 39 – Kratkoročna razgraničenja iznosi </w:t>
      </w:r>
      <w:r w:rsidR="00173491">
        <w:rPr>
          <w:iCs/>
          <w:lang w:val="hr-HR"/>
        </w:rPr>
        <w:t>2.508.770,86</w:t>
      </w:r>
      <w:r w:rsidRPr="00A12B5C">
        <w:rPr>
          <w:iCs/>
          <w:lang w:val="hr-HR"/>
        </w:rPr>
        <w:t xml:space="preserve"> KM i </w:t>
      </w:r>
      <w:r w:rsidR="00173491">
        <w:rPr>
          <w:iCs/>
          <w:lang w:val="hr-HR"/>
        </w:rPr>
        <w:t xml:space="preserve">veće je od stanja na kraju 2018. godine za 78,62%. Strukturu kratkoročnih razgraničenja čine: </w:t>
      </w:r>
    </w:p>
    <w:p w:rsidR="004A0605" w:rsidRPr="00A12B5C" w:rsidRDefault="004A0605" w:rsidP="00FB1527">
      <w:pPr>
        <w:rPr>
          <w:i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1113"/>
        <w:gridCol w:w="5782"/>
        <w:gridCol w:w="1731"/>
      </w:tblGrid>
      <w:tr w:rsidR="00FB1527" w:rsidRPr="00A12B5C" w:rsidTr="004A0605">
        <w:tc>
          <w:tcPr>
            <w:tcW w:w="662" w:type="dxa"/>
          </w:tcPr>
          <w:p w:rsidR="00FB1527" w:rsidRPr="00A12B5C" w:rsidRDefault="00FB1527" w:rsidP="00FB1527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RB</w:t>
            </w:r>
          </w:p>
        </w:tc>
        <w:tc>
          <w:tcPr>
            <w:tcW w:w="1113" w:type="dxa"/>
          </w:tcPr>
          <w:p w:rsidR="00FB1527" w:rsidRPr="00A12B5C" w:rsidRDefault="00FB1527" w:rsidP="00FB1527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Konto</w:t>
            </w:r>
          </w:p>
        </w:tc>
        <w:tc>
          <w:tcPr>
            <w:tcW w:w="5782" w:type="dxa"/>
          </w:tcPr>
          <w:p w:rsidR="00FB1527" w:rsidRPr="00A12B5C" w:rsidRDefault="00FB1527" w:rsidP="00FB1527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Naziv konta</w:t>
            </w:r>
          </w:p>
        </w:tc>
        <w:tc>
          <w:tcPr>
            <w:tcW w:w="1731" w:type="dxa"/>
          </w:tcPr>
          <w:p w:rsidR="00FB1527" w:rsidRPr="00A12B5C" w:rsidRDefault="00FB1527" w:rsidP="00FB1527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Iznos (KM)</w:t>
            </w:r>
          </w:p>
        </w:tc>
      </w:tr>
      <w:tr w:rsidR="00FB1527" w:rsidRPr="00A12B5C" w:rsidTr="004A0605">
        <w:tc>
          <w:tcPr>
            <w:tcW w:w="662" w:type="dxa"/>
          </w:tcPr>
          <w:p w:rsidR="00FB1527" w:rsidRPr="00A12B5C" w:rsidRDefault="004A0605" w:rsidP="00FB1527">
            <w:pPr>
              <w:jc w:val="center"/>
              <w:rPr>
                <w:iCs/>
              </w:rPr>
            </w:pPr>
            <w:r w:rsidRPr="00A12B5C">
              <w:rPr>
                <w:iCs/>
              </w:rPr>
              <w:t>1.</w:t>
            </w:r>
          </w:p>
        </w:tc>
        <w:tc>
          <w:tcPr>
            <w:tcW w:w="1113" w:type="dxa"/>
          </w:tcPr>
          <w:p w:rsidR="00FB1527" w:rsidRPr="00A12B5C" w:rsidRDefault="00FB1527" w:rsidP="00FB1527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391192</w:t>
            </w:r>
          </w:p>
        </w:tc>
        <w:tc>
          <w:tcPr>
            <w:tcW w:w="5782" w:type="dxa"/>
          </w:tcPr>
          <w:p w:rsidR="00FB1527" w:rsidRPr="00A12B5C" w:rsidRDefault="00FB1527" w:rsidP="00FB1527">
            <w:pPr>
              <w:rPr>
                <w:iCs/>
              </w:rPr>
            </w:pPr>
            <w:r w:rsidRPr="00A12B5C">
              <w:rPr>
                <w:iCs/>
              </w:rPr>
              <w:t>Razgraničeni prihodi za namjenska sredstva</w:t>
            </w:r>
          </w:p>
        </w:tc>
        <w:tc>
          <w:tcPr>
            <w:tcW w:w="1731" w:type="dxa"/>
          </w:tcPr>
          <w:p w:rsidR="00FB1527" w:rsidRPr="00A12B5C" w:rsidRDefault="00173491" w:rsidP="00FB1527">
            <w:pPr>
              <w:jc w:val="right"/>
              <w:rPr>
                <w:iCs/>
              </w:rPr>
            </w:pPr>
            <w:r>
              <w:rPr>
                <w:iCs/>
              </w:rPr>
              <w:t>2.481.009,91</w:t>
            </w:r>
          </w:p>
        </w:tc>
      </w:tr>
      <w:tr w:rsidR="00FB1527" w:rsidRPr="00A12B5C" w:rsidTr="004A0605">
        <w:tc>
          <w:tcPr>
            <w:tcW w:w="662" w:type="dxa"/>
          </w:tcPr>
          <w:p w:rsidR="00FB1527" w:rsidRPr="00A12B5C" w:rsidRDefault="004A0605" w:rsidP="00FB1527">
            <w:pPr>
              <w:jc w:val="center"/>
              <w:rPr>
                <w:iCs/>
              </w:rPr>
            </w:pPr>
            <w:r w:rsidRPr="00A12B5C">
              <w:rPr>
                <w:iCs/>
              </w:rPr>
              <w:t>2.</w:t>
            </w:r>
          </w:p>
        </w:tc>
        <w:tc>
          <w:tcPr>
            <w:tcW w:w="1113" w:type="dxa"/>
          </w:tcPr>
          <w:p w:rsidR="00FB1527" w:rsidRPr="00A12B5C" w:rsidRDefault="00FB1527" w:rsidP="00FB1527">
            <w:pPr>
              <w:jc w:val="center"/>
              <w:rPr>
                <w:iCs/>
              </w:rPr>
            </w:pPr>
            <w:r w:rsidRPr="00A12B5C">
              <w:rPr>
                <w:iCs/>
              </w:rPr>
              <w:t>391194</w:t>
            </w:r>
          </w:p>
        </w:tc>
        <w:tc>
          <w:tcPr>
            <w:tcW w:w="5782" w:type="dxa"/>
          </w:tcPr>
          <w:p w:rsidR="00FB1527" w:rsidRPr="00A12B5C" w:rsidRDefault="00FB1527" w:rsidP="00FB1527">
            <w:pPr>
              <w:rPr>
                <w:iCs/>
              </w:rPr>
            </w:pPr>
            <w:r w:rsidRPr="00A12B5C">
              <w:rPr>
                <w:iCs/>
              </w:rPr>
              <w:t>Razgraničeni prihodi za vlastite prihode</w:t>
            </w:r>
          </w:p>
        </w:tc>
        <w:tc>
          <w:tcPr>
            <w:tcW w:w="1731" w:type="dxa"/>
          </w:tcPr>
          <w:p w:rsidR="00FB1527" w:rsidRPr="00A12B5C" w:rsidRDefault="00173491" w:rsidP="00BB3B2D">
            <w:pPr>
              <w:jc w:val="right"/>
              <w:rPr>
                <w:iCs/>
              </w:rPr>
            </w:pPr>
            <w:r>
              <w:rPr>
                <w:iCs/>
              </w:rPr>
              <w:t>27.760,95</w:t>
            </w:r>
          </w:p>
        </w:tc>
      </w:tr>
      <w:tr w:rsidR="00FB1527" w:rsidRPr="00A12B5C" w:rsidTr="004A0605">
        <w:tc>
          <w:tcPr>
            <w:tcW w:w="662" w:type="dxa"/>
          </w:tcPr>
          <w:p w:rsidR="00FB1527" w:rsidRPr="00A12B5C" w:rsidRDefault="00FB1527" w:rsidP="00FB1527">
            <w:pPr>
              <w:rPr>
                <w:b/>
                <w:bCs/>
                <w:iCs/>
              </w:rPr>
            </w:pPr>
          </w:p>
        </w:tc>
        <w:tc>
          <w:tcPr>
            <w:tcW w:w="1113" w:type="dxa"/>
          </w:tcPr>
          <w:p w:rsidR="00FB1527" w:rsidRPr="00A12B5C" w:rsidRDefault="00FB1527" w:rsidP="00FB1527">
            <w:pPr>
              <w:rPr>
                <w:b/>
                <w:bCs/>
                <w:iCs/>
              </w:rPr>
            </w:pPr>
          </w:p>
        </w:tc>
        <w:tc>
          <w:tcPr>
            <w:tcW w:w="5782" w:type="dxa"/>
          </w:tcPr>
          <w:p w:rsidR="00FB1527" w:rsidRPr="00A12B5C" w:rsidRDefault="00FB1527" w:rsidP="00FB1527">
            <w:pPr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UKUPNO:</w:t>
            </w:r>
          </w:p>
        </w:tc>
        <w:tc>
          <w:tcPr>
            <w:tcW w:w="1731" w:type="dxa"/>
          </w:tcPr>
          <w:p w:rsidR="00FB1527" w:rsidRPr="00A12B5C" w:rsidRDefault="00F2547B" w:rsidP="00FB1527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/>
            </w:r>
            <w:r w:rsidR="00173491">
              <w:rPr>
                <w:b/>
                <w:bCs/>
                <w:iCs/>
              </w:rPr>
              <w:instrText xml:space="preserve"> =SUM(ABOVE) </w:instrText>
            </w:r>
            <w:r>
              <w:rPr>
                <w:b/>
                <w:bCs/>
                <w:iCs/>
              </w:rPr>
              <w:fldChar w:fldCharType="separate"/>
            </w:r>
            <w:r w:rsidR="00173491">
              <w:rPr>
                <w:b/>
                <w:bCs/>
                <w:iCs/>
                <w:noProof/>
              </w:rPr>
              <w:t>2.508.770,86</w:t>
            </w:r>
            <w:r>
              <w:rPr>
                <w:b/>
                <w:bCs/>
                <w:iCs/>
              </w:rPr>
              <w:fldChar w:fldCharType="end"/>
            </w:r>
          </w:p>
        </w:tc>
      </w:tr>
    </w:tbl>
    <w:p w:rsidR="00FB1527" w:rsidRPr="00A12B5C" w:rsidRDefault="00FB1527" w:rsidP="00FB1527">
      <w:pPr>
        <w:pStyle w:val="Naslov2"/>
      </w:pPr>
    </w:p>
    <w:p w:rsidR="00FB1527" w:rsidRPr="00A12B5C" w:rsidRDefault="00FB1527" w:rsidP="00FB1527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 w:rsidRPr="00A12B5C">
        <w:t>Razgraničeni prihodi za namjenska sredstva – 391192 – odnose se na:</w:t>
      </w:r>
    </w:p>
    <w:p w:rsidR="00F714F8" w:rsidRPr="00A12B5C" w:rsidRDefault="00F714F8" w:rsidP="00FB1527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>Proračunski korisnik: Ministarstvo gospodarstva i prostornog uređenja, organizacijski kod 15010001 – sredstva iz Proračuna Federacije BiH za izradu Prostornog plana (vrsta prihoda: 731121)</w:t>
      </w:r>
      <w:r w:rsidR="002A39C2" w:rsidRPr="00A12B5C">
        <w:t xml:space="preserve"> u iznosu od 50.000,00 KM,</w:t>
      </w:r>
    </w:p>
    <w:p w:rsidR="00FB1527" w:rsidRPr="00A12B5C" w:rsidRDefault="00FB1527" w:rsidP="00FB1527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 xml:space="preserve">Proračunski korisnik: Ministarstvo poljoprivrede, vodoprivrede i šumarstva, organizacijski kod 19010001 – sredstva od naknade za korištenje </w:t>
      </w:r>
      <w:r w:rsidRPr="00A12B5C">
        <w:lastRenderedPageBreak/>
        <w:t xml:space="preserve">poljoprivrednog zemljišta u nepoljoprivredne svrhe </w:t>
      </w:r>
      <w:r w:rsidR="00F74F7A" w:rsidRPr="00A12B5C">
        <w:t xml:space="preserve">(vrsta prihoda: 722422) </w:t>
      </w:r>
      <w:r w:rsidRPr="00A12B5C">
        <w:t xml:space="preserve">u iznosu od </w:t>
      </w:r>
      <w:r w:rsidR="00173491">
        <w:t>7.332,16</w:t>
      </w:r>
      <w:r w:rsidR="001032D3" w:rsidRPr="00A12B5C">
        <w:t xml:space="preserve"> </w:t>
      </w:r>
      <w:r w:rsidRPr="00A12B5C">
        <w:t>KM,</w:t>
      </w:r>
    </w:p>
    <w:p w:rsidR="00FB1527" w:rsidRPr="00A12B5C" w:rsidRDefault="00FB1527" w:rsidP="00FB1527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 xml:space="preserve">Proračunski korisnik: Ministarstvo poljoprivrede, vodoprivrede i šumarstva, organizacijski kod 19010001 – sredstva od naknada za </w:t>
      </w:r>
      <w:r w:rsidR="00F74F7A" w:rsidRPr="00A12B5C">
        <w:t>općekorisne funkcije šuma utvrđene županijskim propisima (vrsta prihoda: 722471)</w:t>
      </w:r>
      <w:r w:rsidRPr="00A12B5C">
        <w:t xml:space="preserve"> u iznosu od </w:t>
      </w:r>
      <w:r w:rsidR="00173491">
        <w:t>48.592,67</w:t>
      </w:r>
      <w:r w:rsidRPr="00A12B5C">
        <w:t xml:space="preserve"> KM,</w:t>
      </w:r>
    </w:p>
    <w:p w:rsidR="002A39C2" w:rsidRDefault="002A39C2" w:rsidP="00FB1527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>Proračunski korisnik</w:t>
      </w:r>
      <w:r w:rsidR="00173491">
        <w:t>: Ministarstvo prosvjete, znanosti, kulture i športa, organizacijski kod 20010001 – primljeni kapitalni grant od međunarodnih organizacija (vrsta prihoda: 741111) u iznosu od 102.330,37 KM</w:t>
      </w:r>
      <w:r w:rsidR="003208EB">
        <w:t xml:space="preserve"> (Obnova OŠ Vladimira Nazora Odžak – Sanacija područnih škola </w:t>
      </w:r>
      <w:proofErr w:type="spellStart"/>
      <w:r w:rsidR="003208EB">
        <w:t>Potočani</w:t>
      </w:r>
      <w:proofErr w:type="spellEnd"/>
      <w:r w:rsidR="003208EB">
        <w:t xml:space="preserve"> i Donji </w:t>
      </w:r>
      <w:proofErr w:type="spellStart"/>
      <w:r w:rsidR="003208EB">
        <w:t>Svilaj</w:t>
      </w:r>
      <w:proofErr w:type="spellEnd"/>
      <w:r w:rsidR="003208EB">
        <w:t>)</w:t>
      </w:r>
      <w:r w:rsidR="00173491">
        <w:t>,</w:t>
      </w:r>
    </w:p>
    <w:p w:rsidR="003208EB" w:rsidRDefault="003208EB" w:rsidP="003208EB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>Proračunski korisnik</w:t>
      </w:r>
      <w:r>
        <w:t xml:space="preserve">: Ministarstvo prosvjete, znanosti, kulture i športa, organizacijski kod 20010001 – primljeni kapitalni grant od </w:t>
      </w:r>
      <w:proofErr w:type="spellStart"/>
      <w:r>
        <w:t>FBiH</w:t>
      </w:r>
      <w:proofErr w:type="spellEnd"/>
      <w:r>
        <w:t xml:space="preserve"> (vrsta prihoda: 742112) u iznosu od 50.000,00 KM (</w:t>
      </w:r>
      <w:proofErr w:type="spellStart"/>
      <w:r>
        <w:t>Utopljavanje</w:t>
      </w:r>
      <w:proofErr w:type="spellEnd"/>
      <w:r>
        <w:t xml:space="preserve"> Osnovne škole Vladimir Nazor Odžak, Područna škola Posavska Mahala),</w:t>
      </w:r>
    </w:p>
    <w:p w:rsidR="003208EB" w:rsidRPr="00A12B5C" w:rsidRDefault="003208EB" w:rsidP="003208EB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>Proračunski korisnik</w:t>
      </w:r>
      <w:r>
        <w:t xml:space="preserve">: Ministarstvo prosvjete, znanosti, kulture i športa, organizacijski kod 20010001 – primljeni kapitalni grant od </w:t>
      </w:r>
      <w:proofErr w:type="spellStart"/>
      <w:r>
        <w:t>FBiH</w:t>
      </w:r>
      <w:proofErr w:type="spellEnd"/>
      <w:r>
        <w:t xml:space="preserve"> (vrsta prihoda: 742112) u iznosu od 50.000,00 KM (</w:t>
      </w:r>
      <w:proofErr w:type="spellStart"/>
      <w:r>
        <w:t>Utopljavanje</w:t>
      </w:r>
      <w:proofErr w:type="spellEnd"/>
      <w:r>
        <w:t xml:space="preserve"> Srednje škole Pero Zečević Odžak),</w:t>
      </w:r>
    </w:p>
    <w:p w:rsidR="003208EB" w:rsidRPr="00A12B5C" w:rsidRDefault="003208EB" w:rsidP="003208EB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>Proračunski korisnik</w:t>
      </w:r>
      <w:r>
        <w:t xml:space="preserve">: Ministarstvo prosvjete, znanosti, kulture i športa, organizacijski kod 20010001 – primljeni kapitalni grant od </w:t>
      </w:r>
      <w:proofErr w:type="spellStart"/>
      <w:r>
        <w:t>FBiH</w:t>
      </w:r>
      <w:proofErr w:type="spellEnd"/>
      <w:r>
        <w:t xml:space="preserve"> (vrsta prihoda: 7</w:t>
      </w:r>
      <w:r w:rsidR="007855E7">
        <w:t>42112) u iznosu od 11.852,00 KM (Opremanje radionice za provođenje praktične nastave u Srednjoj školi Pere Zečevića Odžak),</w:t>
      </w:r>
    </w:p>
    <w:p w:rsidR="00922737" w:rsidRPr="00A12B5C" w:rsidRDefault="00922737" w:rsidP="002A39C2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 xml:space="preserve">Proračunski korisnik Uprava za civilnu zaštitu Županije Posavske, organizacijski kod 23010001 – sredstva od posebnih naknada za zaštitu od prirodnih i drugih nesreća gdje je osnovica sumarni iznos neto plaće za isplatu (vrsta prihoda: 722581) u iznosu od </w:t>
      </w:r>
      <w:r w:rsidR="00173491">
        <w:t>60.517,39</w:t>
      </w:r>
      <w:r w:rsidRPr="00A12B5C">
        <w:t xml:space="preserve"> KM,</w:t>
      </w:r>
    </w:p>
    <w:p w:rsidR="003A4C21" w:rsidRPr="00A12B5C" w:rsidRDefault="003A4C21" w:rsidP="00FB1527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>Proračunski korisnik: Kantonalno tužiteljstvo, organizacijski kod 27010001 – primlj</w:t>
      </w:r>
      <w:r w:rsidR="003765A1" w:rsidRPr="00A12B5C">
        <w:t>e</w:t>
      </w:r>
      <w:r w:rsidRPr="00A12B5C">
        <w:t xml:space="preserve">ni tekući transferi od međunarodnih organizacija (vrsta prihoda: 731121) u iznosu od </w:t>
      </w:r>
      <w:r w:rsidR="00173491">
        <w:t>61.688,01</w:t>
      </w:r>
      <w:r w:rsidR="003765A1" w:rsidRPr="00A12B5C">
        <w:t xml:space="preserve"> KM</w:t>
      </w:r>
      <w:r w:rsidRPr="00A12B5C">
        <w:t xml:space="preserve"> (</w:t>
      </w:r>
      <w:r w:rsidR="003765A1" w:rsidRPr="00A12B5C">
        <w:t>IPA-ratni zločini),</w:t>
      </w:r>
    </w:p>
    <w:p w:rsidR="00BB3B2D" w:rsidRPr="00A12B5C" w:rsidRDefault="00FB1527" w:rsidP="003765A1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>Riznica ŽP, organizacijski kod: 99999999 –</w:t>
      </w:r>
      <w:r w:rsidR="00922737" w:rsidRPr="00A12B5C">
        <w:t xml:space="preserve"> sredst</w:t>
      </w:r>
      <w:r w:rsidR="003765A1" w:rsidRPr="00A12B5C">
        <w:t xml:space="preserve">va od posebnih naknada za okoliš koje plaćaju fizičke osobe pri svakoj registraciji motornih vozila (vrsta prihoda: 722556) u iznosu od </w:t>
      </w:r>
      <w:r w:rsidR="00173491">
        <w:t>534.143,91</w:t>
      </w:r>
      <w:r w:rsidR="003765A1" w:rsidRPr="00A12B5C">
        <w:t xml:space="preserve"> KM, </w:t>
      </w:r>
    </w:p>
    <w:p w:rsidR="00173491" w:rsidRDefault="009A77D1" w:rsidP="009A77D1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 xml:space="preserve">Riznica ŽP, organizacijski kod: 99999999 – namjenski neutrošeni dio sredstava od prihoda od neizravnih poreza na ime financiranja autocesta u FBiH (vrsta prihoda: 717114) u iznosu od </w:t>
      </w:r>
      <w:r w:rsidR="00173491">
        <w:t>969.969,60</w:t>
      </w:r>
      <w:r w:rsidRPr="00A12B5C">
        <w:t xml:space="preserve"> KM, </w:t>
      </w:r>
    </w:p>
    <w:p w:rsidR="00173491" w:rsidRPr="00A12B5C" w:rsidRDefault="00173491" w:rsidP="00173491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 xml:space="preserve">Riznica ŽP, organizacijski kod: 99999999 – namjenski neutrošeni dio sredstava od prihoda od neizravnih poreza </w:t>
      </w:r>
      <w:r>
        <w:t>koji pripadaju Direkciji cesta</w:t>
      </w:r>
      <w:r w:rsidRPr="00A12B5C">
        <w:t xml:space="preserve"> (vrsta prihoda: 7171</w:t>
      </w:r>
      <w:r>
        <w:t>31</w:t>
      </w:r>
      <w:r w:rsidRPr="00A12B5C">
        <w:t xml:space="preserve">) u iznosu od </w:t>
      </w:r>
      <w:r>
        <w:t>465.871,43</w:t>
      </w:r>
      <w:r w:rsidRPr="00A12B5C">
        <w:t xml:space="preserve"> KM, </w:t>
      </w:r>
    </w:p>
    <w:p w:rsidR="00BB3B2D" w:rsidRPr="00A12B5C" w:rsidRDefault="00BB3B2D" w:rsidP="00FB1527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>Riznica ŽP, organiz</w:t>
      </w:r>
      <w:r w:rsidR="00B70BD9" w:rsidRPr="00A12B5C">
        <w:t>a</w:t>
      </w:r>
      <w:r w:rsidRPr="00A12B5C">
        <w:t xml:space="preserve">cijski kod: 99999999 – </w:t>
      </w:r>
      <w:r w:rsidR="003765A1" w:rsidRPr="00A12B5C">
        <w:t xml:space="preserve">oslobođena deponirana sredstva </w:t>
      </w:r>
      <w:r w:rsidR="00BA6694" w:rsidRPr="00A12B5C">
        <w:t xml:space="preserve">proračunskog korisnika Agencija za privatizaciju </w:t>
      </w:r>
      <w:r w:rsidR="003765A1" w:rsidRPr="00A12B5C">
        <w:t xml:space="preserve">kod Hercegovačke banke d.d. </w:t>
      </w:r>
      <w:r w:rsidR="00BA6694" w:rsidRPr="00A12B5C">
        <w:t>u iznosu od 68.712,37 KM</w:t>
      </w:r>
      <w:r w:rsidRPr="00A12B5C">
        <w:t>.</w:t>
      </w:r>
    </w:p>
    <w:p w:rsidR="00DA17AF" w:rsidRPr="00A12B5C" w:rsidRDefault="00DA17AF" w:rsidP="00E94C5A">
      <w:pPr>
        <w:widowControl/>
        <w:overflowPunct w:val="0"/>
        <w:autoSpaceDE w:val="0"/>
        <w:autoSpaceDN w:val="0"/>
        <w:adjustRightInd w:val="0"/>
        <w:ind w:left="1440"/>
        <w:jc w:val="both"/>
        <w:textAlignment w:val="baseline"/>
      </w:pPr>
    </w:p>
    <w:p w:rsidR="00F15D76" w:rsidRPr="00A12B5C" w:rsidRDefault="00F15D76" w:rsidP="00E037E1">
      <w:pPr>
        <w:widowControl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>Razgraničeni prihodi za vlastite prihode – 391194 – odnose se na</w:t>
      </w:r>
      <w:r w:rsidR="00E037E1" w:rsidRPr="00A12B5C">
        <w:t xml:space="preserve"> otvorena potraživanja</w:t>
      </w:r>
      <w:r w:rsidRPr="00A12B5C">
        <w:t>:</w:t>
      </w:r>
    </w:p>
    <w:p w:rsidR="007855E7" w:rsidRDefault="0096734E" w:rsidP="0096734E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 xml:space="preserve">Proračunski korisnik: </w:t>
      </w:r>
      <w:r w:rsidR="00E037E1" w:rsidRPr="00A12B5C">
        <w:t>Skupština Županije Posavske</w:t>
      </w:r>
      <w:r w:rsidRPr="00A12B5C">
        <w:t>, organizacijski kod: 1</w:t>
      </w:r>
      <w:r w:rsidR="00E037E1" w:rsidRPr="00A12B5C">
        <w:t>0010001,</w:t>
      </w:r>
      <w:r w:rsidRPr="00A12B5C">
        <w:t xml:space="preserve"> u iznosu od </w:t>
      </w:r>
      <w:r w:rsidR="007855E7">
        <w:t>3</w:t>
      </w:r>
      <w:r w:rsidR="00912187" w:rsidRPr="00A12B5C">
        <w:t>00,00 KM,</w:t>
      </w:r>
    </w:p>
    <w:p w:rsidR="0096734E" w:rsidRPr="00A12B5C" w:rsidRDefault="0096734E" w:rsidP="0096734E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>Proračunski korisnik: Ministarstvo unutarnjih poslova</w:t>
      </w:r>
      <w:r w:rsidR="00E037E1" w:rsidRPr="00A12B5C">
        <w:t xml:space="preserve">, organizacijski kod: 13010001, </w:t>
      </w:r>
      <w:r w:rsidRPr="00A12B5C">
        <w:t xml:space="preserve">u iznosu od </w:t>
      </w:r>
      <w:r w:rsidR="007855E7">
        <w:t>1.490,00</w:t>
      </w:r>
      <w:r w:rsidRPr="00A12B5C">
        <w:t xml:space="preserve"> KM,</w:t>
      </w:r>
      <w:r w:rsidR="007855E7">
        <w:t xml:space="preserve"> i</w:t>
      </w:r>
    </w:p>
    <w:p w:rsidR="0096734E" w:rsidRPr="00A12B5C" w:rsidRDefault="0096734E" w:rsidP="0096734E">
      <w:pPr>
        <w:widowControl/>
        <w:numPr>
          <w:ilvl w:val="1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12B5C">
        <w:t xml:space="preserve">Proračunski korisnik: </w:t>
      </w:r>
      <w:r w:rsidR="00912187" w:rsidRPr="00A12B5C">
        <w:t>Ministarstvo poljoprivrede, vodoprivrede i šumarstva</w:t>
      </w:r>
      <w:r w:rsidRPr="00A12B5C">
        <w:t xml:space="preserve">, organizacijski kod: </w:t>
      </w:r>
      <w:r w:rsidR="00912187" w:rsidRPr="00A12B5C">
        <w:t>19010001</w:t>
      </w:r>
      <w:r w:rsidR="00E037E1" w:rsidRPr="00A12B5C">
        <w:t>,</w:t>
      </w:r>
      <w:r w:rsidRPr="00A12B5C">
        <w:t xml:space="preserve"> </w:t>
      </w:r>
      <w:r w:rsidR="00D66458" w:rsidRPr="00A12B5C">
        <w:t xml:space="preserve">u iznosu od </w:t>
      </w:r>
      <w:r w:rsidR="007855E7">
        <w:t>25.970,95 KM.</w:t>
      </w:r>
    </w:p>
    <w:p w:rsidR="002B6584" w:rsidRPr="00A12B5C" w:rsidRDefault="0078469C" w:rsidP="0078469C">
      <w:pPr>
        <w:widowControl/>
        <w:jc w:val="both"/>
      </w:pPr>
      <w:r w:rsidRPr="00A12B5C">
        <w:rPr>
          <w:b/>
          <w:u w:val="single"/>
        </w:rPr>
        <w:lastRenderedPageBreak/>
        <w:t xml:space="preserve">Dugoročne obveze i razgraničenja (klasa 4) </w:t>
      </w:r>
      <w:r w:rsidRPr="00A12B5C">
        <w:t>na kraju 201</w:t>
      </w:r>
      <w:r w:rsidR="007855E7">
        <w:t>9</w:t>
      </w:r>
      <w:r w:rsidRPr="00A12B5C">
        <w:t xml:space="preserve">. godine iznose </w:t>
      </w:r>
      <w:r w:rsidR="007855E7">
        <w:rPr>
          <w:rFonts w:eastAsia="MS Mincho"/>
        </w:rPr>
        <w:t>4.434.292,74</w:t>
      </w:r>
      <w:r w:rsidRPr="00A12B5C">
        <w:rPr>
          <w:rFonts w:eastAsia="MS Mincho"/>
        </w:rPr>
        <w:t xml:space="preserve"> K</w:t>
      </w:r>
      <w:r w:rsidRPr="00A12B5C">
        <w:t xml:space="preserve">M, dok je njihovo početno stanje bilo </w:t>
      </w:r>
      <w:r w:rsidR="007855E7">
        <w:rPr>
          <w:rFonts w:eastAsia="MS Mincho"/>
        </w:rPr>
        <w:t>5.025.151,32</w:t>
      </w:r>
      <w:r w:rsidRPr="00A12B5C">
        <w:t xml:space="preserve"> KM, što je smanjenje za </w:t>
      </w:r>
      <w:r w:rsidR="007855E7">
        <w:t>11,76</w:t>
      </w:r>
      <w:r w:rsidRPr="00A12B5C">
        <w:t>%</w:t>
      </w:r>
      <w:r w:rsidR="007855E7">
        <w:t>,</w:t>
      </w:r>
      <w:r w:rsidRPr="00A12B5C">
        <w:t xml:space="preserve"> ili u apsolutnom iznosu smanjenje za </w:t>
      </w:r>
      <w:r w:rsidR="007855E7">
        <w:t>590.858,58</w:t>
      </w:r>
      <w:r w:rsidRPr="00A12B5C">
        <w:t xml:space="preserve"> KM. </w:t>
      </w:r>
      <w:r w:rsidR="00943717" w:rsidRPr="00A12B5C">
        <w:t>Dugoročne obveze na dan 31.12.201</w:t>
      </w:r>
      <w:r w:rsidR="007855E7">
        <w:t>9</w:t>
      </w:r>
      <w:r w:rsidR="00943717" w:rsidRPr="00A12B5C">
        <w:t>. godine sastoje se od:</w:t>
      </w:r>
    </w:p>
    <w:p w:rsidR="00DF68FD" w:rsidRPr="00A12B5C" w:rsidRDefault="00DF68FD" w:rsidP="00BA6694">
      <w:pPr>
        <w:pStyle w:val="Uvuenotijeloteksta"/>
        <w:spacing w:line="240" w:lineRule="auto"/>
        <w:ind w:firstLine="0"/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701"/>
        <w:gridCol w:w="5387"/>
        <w:gridCol w:w="2039"/>
      </w:tblGrid>
      <w:tr w:rsidR="00912187" w:rsidRPr="00A12B5C" w:rsidTr="00F514E9">
        <w:tc>
          <w:tcPr>
            <w:tcW w:w="675" w:type="dxa"/>
          </w:tcPr>
          <w:p w:rsidR="00912187" w:rsidRPr="00A12B5C" w:rsidRDefault="00912187" w:rsidP="00F514E9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RB</w:t>
            </w:r>
          </w:p>
        </w:tc>
        <w:tc>
          <w:tcPr>
            <w:tcW w:w="1701" w:type="dxa"/>
          </w:tcPr>
          <w:p w:rsidR="00912187" w:rsidRPr="00A12B5C" w:rsidRDefault="00912187" w:rsidP="00F514E9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Konto</w:t>
            </w:r>
          </w:p>
        </w:tc>
        <w:tc>
          <w:tcPr>
            <w:tcW w:w="5387" w:type="dxa"/>
          </w:tcPr>
          <w:p w:rsidR="00912187" w:rsidRPr="00A12B5C" w:rsidRDefault="00912187" w:rsidP="00F514E9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Naziv obveze</w:t>
            </w:r>
          </w:p>
        </w:tc>
        <w:tc>
          <w:tcPr>
            <w:tcW w:w="2039" w:type="dxa"/>
          </w:tcPr>
          <w:p w:rsidR="00912187" w:rsidRPr="00A12B5C" w:rsidRDefault="00912187" w:rsidP="00F514E9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Iznos (KM)</w:t>
            </w:r>
          </w:p>
        </w:tc>
      </w:tr>
      <w:tr w:rsidR="00912187" w:rsidRPr="00A12B5C" w:rsidTr="00F514E9">
        <w:tc>
          <w:tcPr>
            <w:tcW w:w="675" w:type="dxa"/>
          </w:tcPr>
          <w:p w:rsidR="00912187" w:rsidRPr="00A12B5C" w:rsidRDefault="00912187" w:rsidP="00F514E9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1.</w:t>
            </w:r>
          </w:p>
        </w:tc>
        <w:tc>
          <w:tcPr>
            <w:tcW w:w="1701" w:type="dxa"/>
          </w:tcPr>
          <w:p w:rsidR="00912187" w:rsidRPr="00A12B5C" w:rsidRDefault="00912187" w:rsidP="007855E7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4</w:t>
            </w:r>
            <w:r w:rsidR="007855E7">
              <w:rPr>
                <w:b/>
                <w:bCs/>
                <w:iCs/>
              </w:rPr>
              <w:t>2</w:t>
            </w:r>
          </w:p>
        </w:tc>
        <w:tc>
          <w:tcPr>
            <w:tcW w:w="5387" w:type="dxa"/>
          </w:tcPr>
          <w:p w:rsidR="00912187" w:rsidRPr="00A12B5C" w:rsidRDefault="007855E7" w:rsidP="00F514E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Ostale dugoročne obveze</w:t>
            </w:r>
          </w:p>
        </w:tc>
        <w:tc>
          <w:tcPr>
            <w:tcW w:w="2039" w:type="dxa"/>
          </w:tcPr>
          <w:p w:rsidR="00912187" w:rsidRPr="00A12B5C" w:rsidRDefault="00912187" w:rsidP="00F514E9">
            <w:pPr>
              <w:jc w:val="right"/>
              <w:rPr>
                <w:b/>
                <w:bCs/>
                <w:iCs/>
              </w:rPr>
            </w:pPr>
          </w:p>
        </w:tc>
      </w:tr>
      <w:tr w:rsidR="00912187" w:rsidRPr="00A12B5C" w:rsidTr="00F514E9">
        <w:tc>
          <w:tcPr>
            <w:tcW w:w="675" w:type="dxa"/>
          </w:tcPr>
          <w:p w:rsidR="00912187" w:rsidRPr="00A12B5C" w:rsidRDefault="00912187" w:rsidP="00F514E9">
            <w:pPr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912187" w:rsidRPr="00A12B5C" w:rsidRDefault="00912187" w:rsidP="00F514E9">
            <w:pPr>
              <w:jc w:val="center"/>
              <w:rPr>
                <w:iCs/>
              </w:rPr>
            </w:pPr>
            <w:r w:rsidRPr="00A12B5C">
              <w:rPr>
                <w:iCs/>
              </w:rPr>
              <w:t>421121</w:t>
            </w:r>
          </w:p>
        </w:tc>
        <w:tc>
          <w:tcPr>
            <w:tcW w:w="5387" w:type="dxa"/>
          </w:tcPr>
          <w:p w:rsidR="00912187" w:rsidRPr="00A12B5C" w:rsidRDefault="00912187" w:rsidP="00F514E9">
            <w:pPr>
              <w:jc w:val="both"/>
              <w:rPr>
                <w:iCs/>
              </w:rPr>
            </w:pPr>
            <w:r w:rsidRPr="00A12B5C">
              <w:rPr>
                <w:iCs/>
              </w:rPr>
              <w:t>Razne dugoročne obveze u inozemstvu</w:t>
            </w:r>
          </w:p>
        </w:tc>
        <w:tc>
          <w:tcPr>
            <w:tcW w:w="2039" w:type="dxa"/>
          </w:tcPr>
          <w:p w:rsidR="00912187" w:rsidRPr="00A12B5C" w:rsidRDefault="007855E7" w:rsidP="00F514E9">
            <w:pPr>
              <w:jc w:val="right"/>
              <w:rPr>
                <w:iCs/>
              </w:rPr>
            </w:pPr>
            <w:r>
              <w:rPr>
                <w:iCs/>
              </w:rPr>
              <w:t>4.434.292,74</w:t>
            </w:r>
          </w:p>
        </w:tc>
      </w:tr>
      <w:tr w:rsidR="00912187" w:rsidRPr="00A12B5C" w:rsidTr="00F514E9">
        <w:tc>
          <w:tcPr>
            <w:tcW w:w="675" w:type="dxa"/>
          </w:tcPr>
          <w:p w:rsidR="00912187" w:rsidRPr="00A12B5C" w:rsidRDefault="00912187" w:rsidP="00F514E9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912187" w:rsidRPr="00A12B5C" w:rsidRDefault="00912187" w:rsidP="00F514E9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387" w:type="dxa"/>
          </w:tcPr>
          <w:p w:rsidR="00912187" w:rsidRPr="00A12B5C" w:rsidRDefault="00912187" w:rsidP="00F514E9">
            <w:pPr>
              <w:jc w:val="both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UKUPNO:</w:t>
            </w:r>
          </w:p>
        </w:tc>
        <w:tc>
          <w:tcPr>
            <w:tcW w:w="2039" w:type="dxa"/>
          </w:tcPr>
          <w:p w:rsidR="00912187" w:rsidRPr="00A12B5C" w:rsidRDefault="007855E7" w:rsidP="00F514E9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4.434.292,74</w:t>
            </w:r>
          </w:p>
        </w:tc>
      </w:tr>
    </w:tbl>
    <w:p w:rsidR="00F265B5" w:rsidRPr="00A12B5C" w:rsidRDefault="00F265B5" w:rsidP="00BA6694">
      <w:pPr>
        <w:pStyle w:val="Uvuenotijeloteksta"/>
        <w:spacing w:line="240" w:lineRule="auto"/>
        <w:ind w:firstLine="0"/>
      </w:pPr>
    </w:p>
    <w:p w:rsidR="00912187" w:rsidRPr="00A12B5C" w:rsidRDefault="00912187" w:rsidP="00912187">
      <w:pPr>
        <w:pStyle w:val="Uvuenotijeloteksta"/>
        <w:spacing w:line="240" w:lineRule="auto"/>
        <w:ind w:firstLine="0"/>
      </w:pPr>
      <w:r w:rsidRPr="00A12B5C">
        <w:t>Proračunski korisnik:</w:t>
      </w:r>
      <w:r w:rsidRPr="00A12B5C">
        <w:tab/>
      </w:r>
      <w:r w:rsidRPr="00A12B5C">
        <w:rPr>
          <w:b/>
          <w:bCs/>
        </w:rPr>
        <w:t>Ministarstvo financija</w:t>
      </w:r>
    </w:p>
    <w:p w:rsidR="00912187" w:rsidRPr="00A12B5C" w:rsidRDefault="00912187" w:rsidP="00912187">
      <w:pPr>
        <w:pStyle w:val="Uvuenotijeloteksta"/>
        <w:spacing w:line="240" w:lineRule="auto"/>
        <w:ind w:firstLine="0"/>
      </w:pPr>
      <w:r w:rsidRPr="00A12B5C">
        <w:t>Organizacijski kod:</w:t>
      </w:r>
      <w:r w:rsidRPr="00A12B5C">
        <w:tab/>
        <w:t>16010001</w:t>
      </w:r>
    </w:p>
    <w:p w:rsidR="00912187" w:rsidRPr="00A12B5C" w:rsidRDefault="00912187" w:rsidP="00912187">
      <w:pPr>
        <w:pStyle w:val="Uvuenotijeloteksta"/>
        <w:spacing w:line="240" w:lineRule="auto"/>
        <w:ind w:firstLine="0"/>
        <w:rPr>
          <w:iCs/>
        </w:rPr>
      </w:pPr>
      <w:r w:rsidRPr="00A12B5C">
        <w:t>Naziv obveze:</w:t>
      </w:r>
      <w:r w:rsidRPr="00A12B5C">
        <w:tab/>
      </w:r>
      <w:r w:rsidRPr="00A12B5C">
        <w:tab/>
      </w:r>
      <w:r w:rsidRPr="00A12B5C">
        <w:rPr>
          <w:iCs/>
        </w:rPr>
        <w:t>Razne dugoročne obveze u inozemstvu</w:t>
      </w:r>
    </w:p>
    <w:p w:rsidR="00912187" w:rsidRPr="00A12B5C" w:rsidRDefault="00912187" w:rsidP="00912187">
      <w:pPr>
        <w:pStyle w:val="Uvuenotijeloteksta"/>
        <w:spacing w:line="240" w:lineRule="auto"/>
        <w:ind w:firstLine="0"/>
        <w:rPr>
          <w:iCs/>
        </w:rPr>
      </w:pPr>
      <w:r w:rsidRPr="00A12B5C">
        <w:rPr>
          <w:iCs/>
        </w:rPr>
        <w:t>Konto:</w:t>
      </w:r>
      <w:r w:rsidRPr="00A12B5C">
        <w:rPr>
          <w:iCs/>
        </w:rPr>
        <w:tab/>
      </w:r>
      <w:r w:rsidRPr="00A12B5C">
        <w:rPr>
          <w:iCs/>
        </w:rPr>
        <w:tab/>
      </w:r>
      <w:r w:rsidRPr="00A12B5C">
        <w:rPr>
          <w:iCs/>
        </w:rPr>
        <w:tab/>
        <w:t>421121</w:t>
      </w:r>
    </w:p>
    <w:p w:rsidR="00912187" w:rsidRPr="00A12B5C" w:rsidRDefault="00912187" w:rsidP="00912187">
      <w:pPr>
        <w:jc w:val="both"/>
        <w:rPr>
          <w:sz w:val="10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371"/>
        <w:gridCol w:w="1756"/>
      </w:tblGrid>
      <w:tr w:rsidR="00912187" w:rsidRPr="00A12B5C" w:rsidTr="00F514E9">
        <w:trPr>
          <w:cantSplit/>
        </w:trPr>
        <w:tc>
          <w:tcPr>
            <w:tcW w:w="675" w:type="dxa"/>
          </w:tcPr>
          <w:p w:rsidR="00912187" w:rsidRPr="00A12B5C" w:rsidRDefault="00912187" w:rsidP="00912187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RB</w:t>
            </w:r>
          </w:p>
        </w:tc>
        <w:tc>
          <w:tcPr>
            <w:tcW w:w="7371" w:type="dxa"/>
          </w:tcPr>
          <w:p w:rsidR="00912187" w:rsidRPr="00A12B5C" w:rsidRDefault="00912187" w:rsidP="00912187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OPIS</w:t>
            </w:r>
          </w:p>
        </w:tc>
        <w:tc>
          <w:tcPr>
            <w:tcW w:w="1756" w:type="dxa"/>
          </w:tcPr>
          <w:p w:rsidR="00912187" w:rsidRPr="00A12B5C" w:rsidRDefault="00912187" w:rsidP="00912187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Iznos (KM)</w:t>
            </w:r>
          </w:p>
        </w:tc>
      </w:tr>
      <w:tr w:rsidR="00912187" w:rsidRPr="00A12B5C" w:rsidTr="00E037E1">
        <w:trPr>
          <w:cantSplit/>
        </w:trPr>
        <w:tc>
          <w:tcPr>
            <w:tcW w:w="675" w:type="dxa"/>
          </w:tcPr>
          <w:p w:rsidR="00912187" w:rsidRPr="00A12B5C" w:rsidRDefault="00912187" w:rsidP="00912187">
            <w:pPr>
              <w:jc w:val="center"/>
              <w:rPr>
                <w:iCs/>
              </w:rPr>
            </w:pPr>
            <w:r w:rsidRPr="00A12B5C">
              <w:rPr>
                <w:iCs/>
              </w:rPr>
              <w:t>1.</w:t>
            </w:r>
          </w:p>
        </w:tc>
        <w:tc>
          <w:tcPr>
            <w:tcW w:w="7371" w:type="dxa"/>
          </w:tcPr>
          <w:p w:rsidR="00912187" w:rsidRPr="00A12B5C" w:rsidRDefault="00912187" w:rsidP="00912187">
            <w:pPr>
              <w:jc w:val="both"/>
              <w:rPr>
                <w:iCs/>
              </w:rPr>
            </w:pPr>
            <w:r w:rsidRPr="00A12B5C">
              <w:t>UniCredit Bank Austria AG - Podugovor o kreditu za Projekt nabavke, obuke i održavanja medicinske i nemedicinske opreme i usluga u Kantonalnoj bolnici Orašje</w:t>
            </w:r>
          </w:p>
        </w:tc>
        <w:tc>
          <w:tcPr>
            <w:tcW w:w="1756" w:type="dxa"/>
            <w:vAlign w:val="center"/>
          </w:tcPr>
          <w:p w:rsidR="00912187" w:rsidRPr="00A12B5C" w:rsidRDefault="00173B9C" w:rsidP="00E037E1">
            <w:pPr>
              <w:jc w:val="right"/>
              <w:rPr>
                <w:iCs/>
              </w:rPr>
            </w:pPr>
            <w:r>
              <w:rPr>
                <w:iCs/>
              </w:rPr>
              <w:t>3.011.978,20</w:t>
            </w:r>
          </w:p>
        </w:tc>
      </w:tr>
      <w:tr w:rsidR="00912187" w:rsidRPr="00A12B5C" w:rsidTr="00E037E1">
        <w:trPr>
          <w:cantSplit/>
        </w:trPr>
        <w:tc>
          <w:tcPr>
            <w:tcW w:w="675" w:type="dxa"/>
          </w:tcPr>
          <w:p w:rsidR="00912187" w:rsidRPr="00A12B5C" w:rsidRDefault="00912187" w:rsidP="00912187">
            <w:pPr>
              <w:jc w:val="center"/>
              <w:rPr>
                <w:iCs/>
              </w:rPr>
            </w:pPr>
            <w:r w:rsidRPr="00A12B5C">
              <w:rPr>
                <w:iCs/>
              </w:rPr>
              <w:t>2.</w:t>
            </w:r>
          </w:p>
        </w:tc>
        <w:tc>
          <w:tcPr>
            <w:tcW w:w="7371" w:type="dxa"/>
          </w:tcPr>
          <w:p w:rsidR="00912187" w:rsidRPr="00A12B5C" w:rsidRDefault="00912187" w:rsidP="00912187">
            <w:pPr>
              <w:jc w:val="both"/>
              <w:rPr>
                <w:iCs/>
              </w:rPr>
            </w:pPr>
            <w:r w:rsidRPr="00A12B5C">
              <w:t>Export-Import Banka Koreja/EDCF - Podugovor o zajmu za Projekt Modernizacija bolnica u Bosni i Hercegovini - Faza II</w:t>
            </w:r>
          </w:p>
        </w:tc>
        <w:tc>
          <w:tcPr>
            <w:tcW w:w="1756" w:type="dxa"/>
            <w:vAlign w:val="center"/>
          </w:tcPr>
          <w:p w:rsidR="00912187" w:rsidRPr="00A12B5C" w:rsidRDefault="00173B9C" w:rsidP="00E037E1">
            <w:pPr>
              <w:jc w:val="right"/>
              <w:rPr>
                <w:iCs/>
              </w:rPr>
            </w:pPr>
            <w:r>
              <w:rPr>
                <w:iCs/>
              </w:rPr>
              <w:t>1.422.314,54</w:t>
            </w:r>
          </w:p>
        </w:tc>
      </w:tr>
      <w:tr w:rsidR="00912187" w:rsidRPr="00A12B5C" w:rsidTr="00F514E9">
        <w:trPr>
          <w:cantSplit/>
        </w:trPr>
        <w:tc>
          <w:tcPr>
            <w:tcW w:w="675" w:type="dxa"/>
          </w:tcPr>
          <w:p w:rsidR="00912187" w:rsidRPr="00A12B5C" w:rsidRDefault="00912187" w:rsidP="0091218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371" w:type="dxa"/>
          </w:tcPr>
          <w:p w:rsidR="00912187" w:rsidRPr="00A12B5C" w:rsidRDefault="00912187" w:rsidP="00912187">
            <w:pPr>
              <w:jc w:val="both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UKUPNO:</w:t>
            </w:r>
          </w:p>
        </w:tc>
        <w:tc>
          <w:tcPr>
            <w:tcW w:w="1756" w:type="dxa"/>
          </w:tcPr>
          <w:p w:rsidR="00912187" w:rsidRPr="00A12B5C" w:rsidRDefault="00F2547B" w:rsidP="00912187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/>
            </w:r>
            <w:r w:rsidR="00173B9C">
              <w:rPr>
                <w:b/>
                <w:bCs/>
                <w:iCs/>
              </w:rPr>
              <w:instrText xml:space="preserve"> =SUM(ABOVE) </w:instrText>
            </w:r>
            <w:r>
              <w:rPr>
                <w:b/>
                <w:bCs/>
                <w:iCs/>
              </w:rPr>
              <w:fldChar w:fldCharType="separate"/>
            </w:r>
            <w:r w:rsidR="00173B9C">
              <w:rPr>
                <w:b/>
                <w:bCs/>
                <w:iCs/>
                <w:noProof/>
              </w:rPr>
              <w:t>4.434.292,74</w:t>
            </w:r>
            <w:r>
              <w:rPr>
                <w:b/>
                <w:bCs/>
                <w:iCs/>
              </w:rPr>
              <w:fldChar w:fldCharType="end"/>
            </w:r>
          </w:p>
        </w:tc>
      </w:tr>
    </w:tbl>
    <w:p w:rsidR="00912187" w:rsidRDefault="00912187" w:rsidP="00912187">
      <w:pPr>
        <w:pStyle w:val="Uvuenotijeloteksta"/>
        <w:ind w:firstLine="0"/>
        <w:rPr>
          <w:b/>
          <w:bCs/>
        </w:rPr>
      </w:pPr>
    </w:p>
    <w:p w:rsidR="00173B9C" w:rsidRDefault="00173B9C" w:rsidP="00173B9C">
      <w:pPr>
        <w:pStyle w:val="Uvuenotijeloteksta"/>
        <w:spacing w:line="240" w:lineRule="auto"/>
        <w:ind w:firstLine="0"/>
      </w:pPr>
      <w:r>
        <w:t xml:space="preserve">U lipnju 2019. godine završena je otplata kredita za </w:t>
      </w:r>
      <w:r w:rsidRPr="00A12B5C">
        <w:t>financiranje rekonstrukcije školskih objekata i nabavke odgovarajućeg školskog namještaja</w:t>
      </w:r>
      <w:r>
        <w:t xml:space="preserve"> Fonda za međunarodni razvoj/OPEC pri Ministarstvu prosvjete, znanosti, kulture i športa.</w:t>
      </w:r>
    </w:p>
    <w:p w:rsidR="00173B9C" w:rsidRPr="00A12B5C" w:rsidRDefault="00173B9C" w:rsidP="00912187">
      <w:pPr>
        <w:pStyle w:val="Uvuenotijeloteksta"/>
        <w:ind w:firstLine="0"/>
        <w:rPr>
          <w:b/>
          <w:bCs/>
        </w:rPr>
      </w:pPr>
    </w:p>
    <w:p w:rsidR="006B0BC7" w:rsidRPr="00A12B5C" w:rsidRDefault="006B0BC7" w:rsidP="006B0BC7">
      <w:pPr>
        <w:widowControl/>
        <w:rPr>
          <w:b/>
          <w:szCs w:val="24"/>
        </w:rPr>
      </w:pPr>
      <w:r w:rsidRPr="00A12B5C">
        <w:rPr>
          <w:b/>
          <w:szCs w:val="24"/>
        </w:rPr>
        <w:t>13.</w:t>
      </w:r>
      <w:r w:rsidR="00B70BD9" w:rsidRPr="00A12B5C">
        <w:rPr>
          <w:b/>
          <w:szCs w:val="24"/>
        </w:rPr>
        <w:t>3</w:t>
      </w:r>
      <w:r w:rsidRPr="00A12B5C">
        <w:rPr>
          <w:b/>
          <w:szCs w:val="24"/>
        </w:rPr>
        <w:t>.</w:t>
      </w:r>
      <w:r w:rsidRPr="00A12B5C">
        <w:rPr>
          <w:b/>
          <w:szCs w:val="24"/>
        </w:rPr>
        <w:tab/>
      </w:r>
      <w:r w:rsidR="00B70BD9" w:rsidRPr="00A12B5C">
        <w:rPr>
          <w:b/>
          <w:szCs w:val="24"/>
        </w:rPr>
        <w:t>IZVORI SREDSTAVA</w:t>
      </w:r>
    </w:p>
    <w:p w:rsidR="006B0BC7" w:rsidRPr="00A12B5C" w:rsidRDefault="006B0BC7" w:rsidP="00FA39C0">
      <w:pPr>
        <w:widowControl/>
      </w:pPr>
    </w:p>
    <w:p w:rsidR="00B70BD9" w:rsidRPr="00A12B5C" w:rsidRDefault="00B70BD9" w:rsidP="00B70BD9">
      <w:pPr>
        <w:jc w:val="both"/>
      </w:pPr>
      <w:r w:rsidRPr="00A12B5C">
        <w:t xml:space="preserve">Izvori sredstava (klasa 5) na dan </w:t>
      </w:r>
      <w:r w:rsidR="00F514E9" w:rsidRPr="00A12B5C">
        <w:t>01</w:t>
      </w:r>
      <w:r w:rsidRPr="00A12B5C">
        <w:t>.</w:t>
      </w:r>
      <w:r w:rsidR="00F514E9" w:rsidRPr="00A12B5C">
        <w:t>01</w:t>
      </w:r>
      <w:r w:rsidRPr="00A12B5C">
        <w:t>.201</w:t>
      </w:r>
      <w:r w:rsidR="00173B9C">
        <w:t>9</w:t>
      </w:r>
      <w:r w:rsidRPr="00A12B5C">
        <w:t>. godine iznos</w:t>
      </w:r>
      <w:r w:rsidR="00173B9C">
        <w:t>ili su</w:t>
      </w:r>
      <w:r w:rsidRPr="00A12B5C">
        <w:t xml:space="preserve"> </w:t>
      </w:r>
      <w:r w:rsidR="00173B9C">
        <w:rPr>
          <w:rFonts w:eastAsia="MS Mincho"/>
        </w:rPr>
        <w:t>36.863.438,49</w:t>
      </w:r>
      <w:r w:rsidRPr="00A12B5C">
        <w:rPr>
          <w:rFonts w:eastAsia="MS Mincho"/>
        </w:rPr>
        <w:t xml:space="preserve"> </w:t>
      </w:r>
      <w:r w:rsidRPr="00A12B5C">
        <w:t xml:space="preserve">KM, a na dan </w:t>
      </w:r>
      <w:r w:rsidR="00F514E9" w:rsidRPr="00A12B5C">
        <w:t>31</w:t>
      </w:r>
      <w:r w:rsidRPr="00A12B5C">
        <w:t>.</w:t>
      </w:r>
      <w:r w:rsidR="00F514E9" w:rsidRPr="00A12B5C">
        <w:t>12</w:t>
      </w:r>
      <w:r w:rsidRPr="00A12B5C">
        <w:t>.201</w:t>
      </w:r>
      <w:r w:rsidR="00173B9C">
        <w:t>9</w:t>
      </w:r>
      <w:r w:rsidRPr="00A12B5C">
        <w:t xml:space="preserve">. godine stanje je bilo </w:t>
      </w:r>
      <w:r w:rsidR="00173B9C">
        <w:t>37.351.424,60</w:t>
      </w:r>
      <w:r w:rsidR="00E037E1" w:rsidRPr="00A12B5C">
        <w:t xml:space="preserve"> </w:t>
      </w:r>
      <w:r w:rsidRPr="00A12B5C">
        <w:t xml:space="preserve">KM, što znači da je došlo do njihovog povećanja za </w:t>
      </w:r>
      <w:r w:rsidR="00E037E1" w:rsidRPr="00A12B5C">
        <w:t>1,32</w:t>
      </w:r>
      <w:r w:rsidRPr="00A12B5C">
        <w:t>%</w:t>
      </w:r>
      <w:r w:rsidR="00E037E1" w:rsidRPr="00A12B5C">
        <w:t>,</w:t>
      </w:r>
      <w:r w:rsidRPr="00A12B5C">
        <w:t xml:space="preserve"> odnosno za </w:t>
      </w:r>
      <w:r w:rsidR="00E037E1" w:rsidRPr="00A12B5C">
        <w:t>484.</w:t>
      </w:r>
      <w:r w:rsidR="00173B9C">
        <w:t>986</w:t>
      </w:r>
      <w:r w:rsidR="00E037E1" w:rsidRPr="00A12B5C">
        <w:t>,</w:t>
      </w:r>
      <w:r w:rsidR="00173B9C">
        <w:t>11</w:t>
      </w:r>
      <w:r w:rsidRPr="00A12B5C">
        <w:t xml:space="preserve"> KM.</w:t>
      </w:r>
      <w:r w:rsidR="00DB1D5D" w:rsidRPr="00A12B5C">
        <w:t xml:space="preserve"> Strukturu izvora sredstava na dan 31.12.201</w:t>
      </w:r>
      <w:r w:rsidR="00173B9C">
        <w:t>9</w:t>
      </w:r>
      <w:r w:rsidR="00DB1D5D" w:rsidRPr="00A12B5C">
        <w:t>. godine čine:</w:t>
      </w:r>
    </w:p>
    <w:p w:rsidR="00DB1D5D" w:rsidRPr="00A12B5C" w:rsidRDefault="00DB1D5D" w:rsidP="00B70BD9">
      <w:pPr>
        <w:jc w:val="both"/>
        <w:rPr>
          <w:highlight w:val="yell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418"/>
        <w:gridCol w:w="5245"/>
        <w:gridCol w:w="1842"/>
      </w:tblGrid>
      <w:tr w:rsidR="00BF53CD" w:rsidRPr="00A12B5C" w:rsidTr="00430072">
        <w:tc>
          <w:tcPr>
            <w:tcW w:w="675" w:type="dxa"/>
          </w:tcPr>
          <w:p w:rsidR="00BF53CD" w:rsidRPr="00A12B5C" w:rsidRDefault="00BF53CD" w:rsidP="001B190E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RB</w:t>
            </w:r>
          </w:p>
        </w:tc>
        <w:tc>
          <w:tcPr>
            <w:tcW w:w="1418" w:type="dxa"/>
          </w:tcPr>
          <w:p w:rsidR="00BF53CD" w:rsidRPr="00A12B5C" w:rsidRDefault="00BF53CD" w:rsidP="001B190E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Konto</w:t>
            </w:r>
          </w:p>
        </w:tc>
        <w:tc>
          <w:tcPr>
            <w:tcW w:w="5245" w:type="dxa"/>
          </w:tcPr>
          <w:p w:rsidR="00BF53CD" w:rsidRPr="00A12B5C" w:rsidRDefault="00BF53CD" w:rsidP="00BF53CD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 xml:space="preserve">Naziv </w:t>
            </w:r>
          </w:p>
        </w:tc>
        <w:tc>
          <w:tcPr>
            <w:tcW w:w="1842" w:type="dxa"/>
          </w:tcPr>
          <w:p w:rsidR="00BF53CD" w:rsidRPr="00A12B5C" w:rsidRDefault="00BF53CD" w:rsidP="001B190E">
            <w:pPr>
              <w:jc w:val="center"/>
              <w:rPr>
                <w:b/>
                <w:bCs/>
                <w:iCs/>
              </w:rPr>
            </w:pPr>
            <w:r w:rsidRPr="00A12B5C">
              <w:rPr>
                <w:b/>
                <w:bCs/>
                <w:iCs/>
              </w:rPr>
              <w:t>Iznos (KM)</w:t>
            </w:r>
          </w:p>
        </w:tc>
      </w:tr>
      <w:tr w:rsidR="00BF53CD" w:rsidRPr="00A12B5C" w:rsidTr="00430072">
        <w:tc>
          <w:tcPr>
            <w:tcW w:w="675" w:type="dxa"/>
          </w:tcPr>
          <w:p w:rsidR="00BF53CD" w:rsidRPr="00A12B5C" w:rsidRDefault="00BF53CD" w:rsidP="001B190E">
            <w:pPr>
              <w:jc w:val="center"/>
              <w:rPr>
                <w:bCs/>
                <w:iCs/>
              </w:rPr>
            </w:pPr>
            <w:r w:rsidRPr="00A12B5C">
              <w:rPr>
                <w:bCs/>
                <w:iCs/>
              </w:rPr>
              <w:t>1.</w:t>
            </w:r>
          </w:p>
        </w:tc>
        <w:tc>
          <w:tcPr>
            <w:tcW w:w="1418" w:type="dxa"/>
          </w:tcPr>
          <w:p w:rsidR="00BF53CD" w:rsidRPr="00A12B5C" w:rsidRDefault="00BF53CD" w:rsidP="001B190E">
            <w:pPr>
              <w:jc w:val="center"/>
              <w:rPr>
                <w:bCs/>
                <w:iCs/>
              </w:rPr>
            </w:pPr>
            <w:r w:rsidRPr="00A12B5C">
              <w:rPr>
                <w:bCs/>
                <w:iCs/>
              </w:rPr>
              <w:t>51</w:t>
            </w:r>
          </w:p>
        </w:tc>
        <w:tc>
          <w:tcPr>
            <w:tcW w:w="5245" w:type="dxa"/>
          </w:tcPr>
          <w:p w:rsidR="00BF53CD" w:rsidRPr="00A12B5C" w:rsidRDefault="00BF53CD" w:rsidP="001B190E">
            <w:pPr>
              <w:jc w:val="both"/>
              <w:rPr>
                <w:bCs/>
                <w:iCs/>
              </w:rPr>
            </w:pPr>
            <w:r w:rsidRPr="00A12B5C">
              <w:rPr>
                <w:bCs/>
                <w:iCs/>
              </w:rPr>
              <w:t>Izvori stalnih sredstava</w:t>
            </w:r>
          </w:p>
        </w:tc>
        <w:tc>
          <w:tcPr>
            <w:tcW w:w="1842" w:type="dxa"/>
          </w:tcPr>
          <w:p w:rsidR="00BF53CD" w:rsidRPr="00A12B5C" w:rsidRDefault="00173B9C" w:rsidP="00F514E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39.201.718,29</w:t>
            </w:r>
          </w:p>
        </w:tc>
      </w:tr>
      <w:tr w:rsidR="00BF53CD" w:rsidRPr="00A12B5C" w:rsidTr="00430072">
        <w:tc>
          <w:tcPr>
            <w:tcW w:w="675" w:type="dxa"/>
          </w:tcPr>
          <w:p w:rsidR="00BF53CD" w:rsidRPr="00A12B5C" w:rsidRDefault="00BF53CD" w:rsidP="00BF53CD">
            <w:pPr>
              <w:jc w:val="center"/>
              <w:rPr>
                <w:iCs/>
              </w:rPr>
            </w:pPr>
            <w:r w:rsidRPr="00A12B5C">
              <w:rPr>
                <w:iCs/>
              </w:rPr>
              <w:t>2.</w:t>
            </w:r>
          </w:p>
        </w:tc>
        <w:tc>
          <w:tcPr>
            <w:tcW w:w="1418" w:type="dxa"/>
          </w:tcPr>
          <w:p w:rsidR="00BF53CD" w:rsidRPr="00A12B5C" w:rsidRDefault="00BF53CD" w:rsidP="001B190E">
            <w:pPr>
              <w:jc w:val="center"/>
              <w:rPr>
                <w:iCs/>
              </w:rPr>
            </w:pPr>
            <w:r w:rsidRPr="00A12B5C">
              <w:rPr>
                <w:iCs/>
              </w:rPr>
              <w:t>59</w:t>
            </w:r>
          </w:p>
        </w:tc>
        <w:tc>
          <w:tcPr>
            <w:tcW w:w="5245" w:type="dxa"/>
          </w:tcPr>
          <w:p w:rsidR="00BF53CD" w:rsidRPr="00A12B5C" w:rsidRDefault="00BF53CD" w:rsidP="001B190E">
            <w:pPr>
              <w:jc w:val="both"/>
              <w:rPr>
                <w:iCs/>
              </w:rPr>
            </w:pPr>
            <w:r w:rsidRPr="00A12B5C">
              <w:rPr>
                <w:iCs/>
              </w:rPr>
              <w:t>Neraspoređeni višak prihoda nad rashodima</w:t>
            </w:r>
          </w:p>
        </w:tc>
        <w:tc>
          <w:tcPr>
            <w:tcW w:w="1842" w:type="dxa"/>
          </w:tcPr>
          <w:p w:rsidR="00BF53CD" w:rsidRPr="00A12B5C" w:rsidRDefault="00F514E9" w:rsidP="00173B9C">
            <w:pPr>
              <w:jc w:val="right"/>
              <w:rPr>
                <w:iCs/>
              </w:rPr>
            </w:pPr>
            <w:r w:rsidRPr="00A12B5C">
              <w:rPr>
                <w:iCs/>
              </w:rPr>
              <w:t>-1.</w:t>
            </w:r>
            <w:r w:rsidR="00173B9C">
              <w:rPr>
                <w:iCs/>
              </w:rPr>
              <w:t>850</w:t>
            </w:r>
            <w:r w:rsidR="00146E7C" w:rsidRPr="00A12B5C">
              <w:rPr>
                <w:iCs/>
              </w:rPr>
              <w:t>.</w:t>
            </w:r>
            <w:r w:rsidR="00173B9C">
              <w:rPr>
                <w:iCs/>
              </w:rPr>
              <w:t>293</w:t>
            </w:r>
            <w:r w:rsidR="00146E7C" w:rsidRPr="00A12B5C">
              <w:rPr>
                <w:iCs/>
              </w:rPr>
              <w:t>,69</w:t>
            </w:r>
          </w:p>
        </w:tc>
      </w:tr>
      <w:tr w:rsidR="00BF53CD" w:rsidRPr="00A12B5C" w:rsidTr="00430072">
        <w:tc>
          <w:tcPr>
            <w:tcW w:w="675" w:type="dxa"/>
          </w:tcPr>
          <w:p w:rsidR="00BF53CD" w:rsidRPr="00A12B5C" w:rsidRDefault="00BF53CD" w:rsidP="001B190E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BF53CD" w:rsidRPr="00A12B5C" w:rsidRDefault="00BF53CD" w:rsidP="001B190E">
            <w:pPr>
              <w:jc w:val="center"/>
              <w:rPr>
                <w:b/>
                <w:iCs/>
              </w:rPr>
            </w:pPr>
          </w:p>
        </w:tc>
        <w:tc>
          <w:tcPr>
            <w:tcW w:w="5245" w:type="dxa"/>
          </w:tcPr>
          <w:p w:rsidR="00BF53CD" w:rsidRPr="00A12B5C" w:rsidRDefault="00BF53CD" w:rsidP="001B190E">
            <w:pPr>
              <w:jc w:val="both"/>
              <w:rPr>
                <w:b/>
                <w:iCs/>
              </w:rPr>
            </w:pPr>
            <w:r w:rsidRPr="00A12B5C">
              <w:rPr>
                <w:b/>
                <w:iCs/>
              </w:rPr>
              <w:t>UKUPNO:</w:t>
            </w:r>
          </w:p>
        </w:tc>
        <w:tc>
          <w:tcPr>
            <w:tcW w:w="1842" w:type="dxa"/>
          </w:tcPr>
          <w:p w:rsidR="00BF53CD" w:rsidRPr="00A12B5C" w:rsidRDefault="00F2547B" w:rsidP="001B190E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fldChar w:fldCharType="begin"/>
            </w:r>
            <w:r w:rsidR="00173B9C">
              <w:rPr>
                <w:b/>
                <w:iCs/>
              </w:rPr>
              <w:instrText xml:space="preserve"> =SUM(ABOVE) </w:instrText>
            </w:r>
            <w:r>
              <w:rPr>
                <w:b/>
                <w:iCs/>
              </w:rPr>
              <w:fldChar w:fldCharType="separate"/>
            </w:r>
            <w:r w:rsidR="00173B9C">
              <w:rPr>
                <w:b/>
                <w:iCs/>
                <w:noProof/>
              </w:rPr>
              <w:t>37.351.424,6</w:t>
            </w:r>
            <w:r>
              <w:rPr>
                <w:b/>
                <w:iCs/>
              </w:rPr>
              <w:fldChar w:fldCharType="end"/>
            </w:r>
            <w:r w:rsidR="00173B9C">
              <w:rPr>
                <w:b/>
                <w:iCs/>
              </w:rPr>
              <w:t>0</w:t>
            </w:r>
          </w:p>
        </w:tc>
      </w:tr>
    </w:tbl>
    <w:p w:rsidR="00BF53CD" w:rsidRPr="00A12B5C" w:rsidRDefault="00BF53CD" w:rsidP="00B70BD9">
      <w:pPr>
        <w:jc w:val="both"/>
        <w:rPr>
          <w:highlight w:val="yellow"/>
        </w:rPr>
      </w:pPr>
    </w:p>
    <w:p w:rsidR="002B6584" w:rsidRPr="00A12B5C" w:rsidRDefault="002B6584" w:rsidP="00FA39C0">
      <w:pPr>
        <w:widowControl/>
        <w:rPr>
          <w:highlight w:val="yellow"/>
        </w:rPr>
      </w:pPr>
    </w:p>
    <w:p w:rsidR="00B70BD9" w:rsidRPr="00A12B5C" w:rsidRDefault="00B70BD9" w:rsidP="00B70BD9">
      <w:pPr>
        <w:widowControl/>
        <w:rPr>
          <w:b/>
          <w:szCs w:val="24"/>
        </w:rPr>
      </w:pPr>
      <w:r w:rsidRPr="00A12B5C">
        <w:rPr>
          <w:b/>
          <w:szCs w:val="24"/>
        </w:rPr>
        <w:t>13.4.</w:t>
      </w:r>
      <w:r w:rsidRPr="00A12B5C">
        <w:rPr>
          <w:b/>
          <w:szCs w:val="24"/>
        </w:rPr>
        <w:tab/>
        <w:t>ZADUŽIVANJE I UPRAVLJANJE DUGOM</w:t>
      </w:r>
    </w:p>
    <w:p w:rsidR="00B70BD9" w:rsidRPr="00A12B5C" w:rsidRDefault="00B70BD9" w:rsidP="00FA39C0">
      <w:pPr>
        <w:widowControl/>
      </w:pPr>
    </w:p>
    <w:p w:rsidR="001B190E" w:rsidRPr="00A12B5C" w:rsidRDefault="00B70BD9" w:rsidP="001B190E">
      <w:pPr>
        <w:widowControl/>
        <w:jc w:val="both"/>
      </w:pPr>
      <w:r w:rsidRPr="00A12B5C">
        <w:t>Tijekom 201</w:t>
      </w:r>
      <w:r w:rsidR="00173B9C">
        <w:t>9</w:t>
      </w:r>
      <w:r w:rsidRPr="00A12B5C">
        <w:t xml:space="preserve">. godine Proračun Županije Posavske se nije </w:t>
      </w:r>
      <w:r w:rsidR="00430072" w:rsidRPr="00A12B5C">
        <w:t xml:space="preserve">dodatno </w:t>
      </w:r>
      <w:r w:rsidRPr="00A12B5C">
        <w:t>zaduživao niti su izdavana jamstva</w:t>
      </w:r>
      <w:r w:rsidR="001B190E" w:rsidRPr="00A12B5C">
        <w:t xml:space="preserve">.  </w:t>
      </w:r>
    </w:p>
    <w:p w:rsidR="001B190E" w:rsidRDefault="001B190E" w:rsidP="001B190E">
      <w:pPr>
        <w:widowControl/>
        <w:jc w:val="both"/>
      </w:pPr>
    </w:p>
    <w:p w:rsidR="00AF1B19" w:rsidRDefault="00AF1B19" w:rsidP="001B190E">
      <w:pPr>
        <w:widowControl/>
        <w:jc w:val="both"/>
      </w:pPr>
      <w:r>
        <w:t>U promatranom razdoblju redovito su, sukladno listi prioriteta iz Zakona o izvršavanju Proračuna Županije Posavske za 2019. godinu („Narodne novine Županije Posavske“, broj: 9/18), vršene otplate kamata i glavnica slijedećih kredita:</w:t>
      </w:r>
    </w:p>
    <w:p w:rsidR="00AF1B19" w:rsidRPr="00AF1B19" w:rsidRDefault="00AF1B19" w:rsidP="001B190E">
      <w:pPr>
        <w:pStyle w:val="Odlomakpopisa"/>
        <w:widowControl/>
        <w:numPr>
          <w:ilvl w:val="0"/>
          <w:numId w:val="13"/>
        </w:numPr>
        <w:jc w:val="both"/>
        <w:rPr>
          <w:szCs w:val="24"/>
        </w:rPr>
      </w:pPr>
      <w:r w:rsidRPr="00AF1B19">
        <w:rPr>
          <w:szCs w:val="24"/>
        </w:rPr>
        <w:lastRenderedPageBreak/>
        <w:t xml:space="preserve">Ugovor o kreditu </w:t>
      </w:r>
      <w:r w:rsidRPr="00AF1B19">
        <w:rPr>
          <w:rFonts w:eastAsia="Times New Roman"/>
          <w:szCs w:val="24"/>
          <w:lang w:eastAsia="hr-HR"/>
        </w:rPr>
        <w:t>za financiranje rekonstrukcije školskih objekata i nabavke odgovarajućeg školskog namještaja</w:t>
      </w:r>
      <w:r>
        <w:rPr>
          <w:rFonts w:eastAsia="Times New Roman"/>
          <w:szCs w:val="24"/>
          <w:lang w:eastAsia="hr-HR"/>
        </w:rPr>
        <w:t xml:space="preserve"> </w:t>
      </w:r>
      <w:r w:rsidRPr="00AF1B19">
        <w:rPr>
          <w:rFonts w:eastAsia="Times New Roman"/>
          <w:szCs w:val="24"/>
          <w:lang w:eastAsia="hr-HR"/>
        </w:rPr>
        <w:t>(Fond</w:t>
      </w:r>
      <w:r>
        <w:rPr>
          <w:rFonts w:eastAsia="Times New Roman"/>
          <w:szCs w:val="24"/>
          <w:lang w:eastAsia="hr-HR"/>
        </w:rPr>
        <w:t xml:space="preserve"> </w:t>
      </w:r>
      <w:r w:rsidRPr="00AF1B19">
        <w:rPr>
          <w:rFonts w:eastAsia="Times New Roman"/>
          <w:szCs w:val="24"/>
          <w:lang w:eastAsia="hr-HR"/>
        </w:rPr>
        <w:t>za</w:t>
      </w:r>
      <w:r>
        <w:rPr>
          <w:rFonts w:eastAsia="Times New Roman"/>
          <w:szCs w:val="24"/>
          <w:lang w:eastAsia="hr-HR"/>
        </w:rPr>
        <w:t xml:space="preserve"> </w:t>
      </w:r>
      <w:r w:rsidRPr="00AF1B19">
        <w:rPr>
          <w:rFonts w:eastAsia="Times New Roman"/>
          <w:szCs w:val="24"/>
          <w:lang w:eastAsia="hr-HR"/>
        </w:rPr>
        <w:t>međunarodni razvoj / OPEC</w:t>
      </w:r>
      <w:r>
        <w:rPr>
          <w:rFonts w:eastAsia="Times New Roman"/>
          <w:szCs w:val="24"/>
          <w:lang w:eastAsia="hr-HR"/>
        </w:rPr>
        <w:t>) (iznos kredita u izvornoj valuti: 500.000 $),</w:t>
      </w:r>
    </w:p>
    <w:p w:rsidR="001B190E" w:rsidRPr="00A12B5C" w:rsidRDefault="001B190E" w:rsidP="001B190E">
      <w:pPr>
        <w:pStyle w:val="Odlomakpopisa"/>
        <w:widowControl/>
        <w:numPr>
          <w:ilvl w:val="0"/>
          <w:numId w:val="13"/>
        </w:numPr>
        <w:jc w:val="both"/>
      </w:pPr>
      <w:r w:rsidRPr="00A12B5C">
        <w:t>Podugovor o kreditu za Projekt nabavke, obuke i održavanja medicinske i nemedicinske opreme i usluga u Kantonalnoj bolnici Oraš</w:t>
      </w:r>
      <w:r w:rsidR="00AF1B19">
        <w:t>je (</w:t>
      </w:r>
      <w:proofErr w:type="spellStart"/>
      <w:r w:rsidR="00AF1B19">
        <w:t>UniCredit</w:t>
      </w:r>
      <w:proofErr w:type="spellEnd"/>
      <w:r w:rsidR="00AF1B19">
        <w:t xml:space="preserve"> Bank </w:t>
      </w:r>
      <w:proofErr w:type="spellStart"/>
      <w:r w:rsidR="00AF1B19">
        <w:t>Austria</w:t>
      </w:r>
      <w:proofErr w:type="spellEnd"/>
      <w:r w:rsidR="00AF1B19">
        <w:t xml:space="preserve"> AG) (</w:t>
      </w:r>
      <w:r w:rsidR="00B41A87" w:rsidRPr="00A12B5C">
        <w:t>iznos kredita</w:t>
      </w:r>
      <w:r w:rsidR="00AF1B19">
        <w:t xml:space="preserve"> u izvornoj valuti</w:t>
      </w:r>
      <w:r w:rsidR="00B41A87" w:rsidRPr="00A12B5C">
        <w:t>: 1.980.000,00 €)</w:t>
      </w:r>
      <w:r w:rsidR="00AF1B19">
        <w:t>, i</w:t>
      </w:r>
    </w:p>
    <w:p w:rsidR="001B190E" w:rsidRPr="00A12B5C" w:rsidRDefault="001B190E" w:rsidP="001B190E">
      <w:pPr>
        <w:pStyle w:val="Odlomakpopisa"/>
        <w:widowControl/>
        <w:numPr>
          <w:ilvl w:val="0"/>
          <w:numId w:val="13"/>
        </w:numPr>
        <w:jc w:val="both"/>
      </w:pPr>
      <w:r w:rsidRPr="00A12B5C">
        <w:t>Podugovor o zajmu za Projekt Modernizacija bolnica u Bosni i Hercegovini – Faza II (</w:t>
      </w:r>
      <w:proofErr w:type="spellStart"/>
      <w:r w:rsidRPr="00A12B5C">
        <w:t>Export</w:t>
      </w:r>
      <w:proofErr w:type="spellEnd"/>
      <w:r w:rsidRPr="00A12B5C">
        <w:t xml:space="preserve">-Import Banka Koreja) </w:t>
      </w:r>
      <w:r w:rsidR="00E547B3">
        <w:t>(iznos kredita</w:t>
      </w:r>
      <w:r w:rsidR="00AF1B19">
        <w:t xml:space="preserve"> u izvornoj valuti</w:t>
      </w:r>
      <w:r w:rsidR="00E547B3">
        <w:t>: 1.</w:t>
      </w:r>
      <w:r w:rsidR="00B41A87" w:rsidRPr="00A12B5C">
        <w:t>003.882.879,00 KRW)</w:t>
      </w:r>
      <w:r w:rsidR="00FE3B07" w:rsidRPr="00A12B5C">
        <w:t>.</w:t>
      </w:r>
    </w:p>
    <w:p w:rsidR="00B70BD9" w:rsidRPr="00A12B5C" w:rsidRDefault="00B70BD9" w:rsidP="00FA39C0">
      <w:pPr>
        <w:widowControl/>
      </w:pPr>
    </w:p>
    <w:p w:rsidR="00F514E9" w:rsidRPr="00A12B5C" w:rsidRDefault="00146E7C" w:rsidP="006A616B">
      <w:pPr>
        <w:widowControl/>
        <w:jc w:val="both"/>
      </w:pPr>
      <w:r w:rsidRPr="00A12B5C">
        <w:t>Sukladno odredbama navedenih ugovora u 201</w:t>
      </w:r>
      <w:r w:rsidR="00AF1B19">
        <w:t>9</w:t>
      </w:r>
      <w:r w:rsidRPr="00A12B5C">
        <w:t xml:space="preserve">. godini </w:t>
      </w:r>
      <w:r w:rsidR="00B41A87" w:rsidRPr="00A12B5C">
        <w:t xml:space="preserve">otplaćene </w:t>
      </w:r>
      <w:r w:rsidR="00AF1B19">
        <w:t xml:space="preserve">su </w:t>
      </w:r>
      <w:r w:rsidR="00B41A87" w:rsidRPr="00A12B5C">
        <w:t>glavnice, kako slijedi</w:t>
      </w:r>
      <w:r w:rsidRPr="00A12B5C">
        <w:t>:</w:t>
      </w:r>
    </w:p>
    <w:p w:rsidR="00AF1B19" w:rsidRDefault="00AF1B19" w:rsidP="00B41A87">
      <w:pPr>
        <w:pStyle w:val="Odlomakpopisa"/>
        <w:widowControl/>
        <w:numPr>
          <w:ilvl w:val="0"/>
          <w:numId w:val="13"/>
        </w:numPr>
        <w:jc w:val="both"/>
      </w:pPr>
      <w:r>
        <w:t xml:space="preserve">OPEC </w:t>
      </w:r>
      <w:r w:rsidR="00B2277B">
        <w:t>–</w:t>
      </w:r>
      <w:r>
        <w:t xml:space="preserve"> </w:t>
      </w:r>
      <w:r w:rsidR="00B2277B">
        <w:t>dvije rate glavnice u ukupnom iznosu od 71.160,52 KM, čime je ujedno i završena otplata navedenog kredita,</w:t>
      </w:r>
    </w:p>
    <w:p w:rsidR="00B41A87" w:rsidRPr="00A12B5C" w:rsidRDefault="00B41A87" w:rsidP="00B41A87">
      <w:pPr>
        <w:pStyle w:val="Odlomakpopisa"/>
        <w:widowControl/>
        <w:numPr>
          <w:ilvl w:val="0"/>
          <w:numId w:val="13"/>
        </w:numPr>
        <w:jc w:val="both"/>
      </w:pPr>
      <w:proofErr w:type="spellStart"/>
      <w:r w:rsidRPr="00A12B5C">
        <w:t>Export</w:t>
      </w:r>
      <w:proofErr w:type="spellEnd"/>
      <w:r w:rsidRPr="00A12B5C">
        <w:t xml:space="preserve">-Import Bank Koreja/EDCF – dvije rate glavnice u ukupnom iznosu od </w:t>
      </w:r>
      <w:r w:rsidR="00B2277B">
        <w:t>89.415,46</w:t>
      </w:r>
      <w:r w:rsidRPr="00A12B5C">
        <w:t xml:space="preserve"> KM, i</w:t>
      </w:r>
    </w:p>
    <w:p w:rsidR="00B41A87" w:rsidRPr="00A12B5C" w:rsidRDefault="00B41A87" w:rsidP="00B41A87">
      <w:pPr>
        <w:pStyle w:val="Odlomakpopisa"/>
        <w:widowControl/>
        <w:numPr>
          <w:ilvl w:val="0"/>
          <w:numId w:val="13"/>
        </w:numPr>
        <w:jc w:val="both"/>
      </w:pPr>
      <w:r w:rsidRPr="00A12B5C">
        <w:t>UniCredit Bank Austria – dvije rate glavnice u ukupnom iznosu od 430.282,60 KM.</w:t>
      </w:r>
    </w:p>
    <w:p w:rsidR="00146E7C" w:rsidRPr="00A12B5C" w:rsidRDefault="00146E7C" w:rsidP="006A616B">
      <w:pPr>
        <w:widowControl/>
        <w:jc w:val="both"/>
      </w:pPr>
    </w:p>
    <w:p w:rsidR="001B190E" w:rsidRPr="00A12B5C" w:rsidRDefault="00A33262" w:rsidP="00B2277B">
      <w:pPr>
        <w:widowControl/>
        <w:jc w:val="both"/>
      </w:pPr>
      <w:r w:rsidRPr="00A12B5C">
        <w:t>Stanje duga Proračuna Županije Posavske na 31.12.201</w:t>
      </w:r>
      <w:r w:rsidR="00B2277B">
        <w:t>9</w:t>
      </w:r>
      <w:r w:rsidRPr="00A12B5C">
        <w:t>. godine prikazano je u tablici u Prilogu 1.</w:t>
      </w:r>
    </w:p>
    <w:p w:rsidR="00A33262" w:rsidRPr="00A12B5C" w:rsidRDefault="00A33262" w:rsidP="00FA39C0">
      <w:pPr>
        <w:widowControl/>
      </w:pPr>
    </w:p>
    <w:p w:rsidR="001B190E" w:rsidRPr="00A12B5C" w:rsidRDefault="001B190E" w:rsidP="00FA39C0">
      <w:pPr>
        <w:widowControl/>
      </w:pPr>
    </w:p>
    <w:p w:rsidR="001B190E" w:rsidRPr="00A12B5C" w:rsidRDefault="001B190E" w:rsidP="00FA39C0">
      <w:pPr>
        <w:widowControl/>
      </w:pPr>
    </w:p>
    <w:p w:rsidR="001B190E" w:rsidRPr="00A12B5C" w:rsidRDefault="001B190E" w:rsidP="00FA39C0">
      <w:pPr>
        <w:widowControl/>
      </w:pPr>
    </w:p>
    <w:p w:rsidR="009554E4" w:rsidRPr="00A12B5C" w:rsidRDefault="009554E4" w:rsidP="009B2CEF">
      <w:pPr>
        <w:widowControl/>
        <w:ind w:firstLine="708"/>
        <w:jc w:val="right"/>
      </w:pPr>
      <w:r w:rsidRPr="00A12B5C">
        <w:t xml:space="preserve">                                                                               MINISTARSTVO FINANCIJA</w:t>
      </w:r>
    </w:p>
    <w:p w:rsidR="009554E4" w:rsidRPr="00A12B5C" w:rsidRDefault="009B2CEF" w:rsidP="00FC23CE">
      <w:pPr>
        <w:rPr>
          <w:szCs w:val="24"/>
        </w:rPr>
      </w:pPr>
      <w:r w:rsidRPr="00A12B5C">
        <w:rPr>
          <w:szCs w:val="24"/>
        </w:rPr>
        <w:t xml:space="preserve">Orašje, </w:t>
      </w:r>
      <w:r w:rsidR="00A935A6" w:rsidRPr="00A12B5C">
        <w:rPr>
          <w:szCs w:val="24"/>
        </w:rPr>
        <w:t>ožujak</w:t>
      </w:r>
      <w:r w:rsidRPr="00A12B5C">
        <w:rPr>
          <w:szCs w:val="24"/>
        </w:rPr>
        <w:t xml:space="preserve"> 20</w:t>
      </w:r>
      <w:r w:rsidR="00AF1B19">
        <w:rPr>
          <w:szCs w:val="24"/>
        </w:rPr>
        <w:t>20</w:t>
      </w:r>
      <w:r w:rsidRPr="00A12B5C">
        <w:rPr>
          <w:szCs w:val="24"/>
        </w:rPr>
        <w:t xml:space="preserve">.godine </w:t>
      </w:r>
    </w:p>
    <w:p w:rsidR="00E94C5A" w:rsidRPr="00A12B5C" w:rsidRDefault="00E94C5A" w:rsidP="00FC23CE">
      <w:pPr>
        <w:rPr>
          <w:szCs w:val="24"/>
        </w:rPr>
      </w:pPr>
    </w:p>
    <w:p w:rsidR="006B2390" w:rsidRPr="00A12B5C" w:rsidRDefault="006B2390" w:rsidP="00FC23CE">
      <w:pPr>
        <w:rPr>
          <w:szCs w:val="24"/>
        </w:rPr>
      </w:pPr>
    </w:p>
    <w:p w:rsidR="006B2390" w:rsidRPr="00A12B5C" w:rsidRDefault="006B2390" w:rsidP="00E94C5A">
      <w:pPr>
        <w:widowControl/>
        <w:rPr>
          <w:i/>
        </w:rPr>
      </w:pPr>
      <w:r w:rsidRPr="00A12B5C">
        <w:rPr>
          <w:i/>
        </w:rPr>
        <w:t>Prilog 1. Stanje duga Županije Posavske na dan 31.12.201</w:t>
      </w:r>
      <w:r w:rsidR="00AF1B19">
        <w:rPr>
          <w:i/>
        </w:rPr>
        <w:t>9</w:t>
      </w:r>
      <w:r w:rsidRPr="00A12B5C">
        <w:rPr>
          <w:i/>
        </w:rPr>
        <w:t>. godine</w:t>
      </w:r>
    </w:p>
    <w:p w:rsidR="00E94C5A" w:rsidRPr="00A12B5C" w:rsidRDefault="00E94C5A" w:rsidP="00E94C5A">
      <w:pPr>
        <w:widowControl/>
        <w:rPr>
          <w:i/>
        </w:rPr>
      </w:pPr>
      <w:r w:rsidRPr="00A12B5C">
        <w:rPr>
          <w:i/>
        </w:rPr>
        <w:t>Prilog</w:t>
      </w:r>
      <w:r w:rsidR="006B2390" w:rsidRPr="00A12B5C">
        <w:rPr>
          <w:i/>
        </w:rPr>
        <w:t xml:space="preserve"> 2</w:t>
      </w:r>
      <w:r w:rsidRPr="00A12B5C">
        <w:rPr>
          <w:i/>
        </w:rPr>
        <w:t>: Izvješće o izvršenju Proračuna Županije Posavske za 201</w:t>
      </w:r>
      <w:r w:rsidR="00AF1B19">
        <w:rPr>
          <w:i/>
        </w:rPr>
        <w:t>9</w:t>
      </w:r>
      <w:r w:rsidRPr="00A12B5C">
        <w:rPr>
          <w:i/>
        </w:rPr>
        <w:t>. godinu – tabl</w:t>
      </w:r>
      <w:r w:rsidR="00DF68FD" w:rsidRPr="00A12B5C">
        <w:rPr>
          <w:i/>
        </w:rPr>
        <w:t>.</w:t>
      </w:r>
      <w:r w:rsidRPr="00A12B5C">
        <w:rPr>
          <w:i/>
        </w:rPr>
        <w:t>pregled</w:t>
      </w:r>
    </w:p>
    <w:p w:rsidR="006B2390" w:rsidRPr="00A12B5C" w:rsidRDefault="006B2390">
      <w:pPr>
        <w:widowControl/>
      </w:pPr>
      <w:r w:rsidRPr="00A12B5C">
        <w:br w:type="page"/>
      </w:r>
    </w:p>
    <w:p w:rsidR="006B2390" w:rsidRPr="00A12B5C" w:rsidRDefault="006B2390" w:rsidP="00FC23CE">
      <w:pPr>
        <w:sectPr w:rsidR="006B2390" w:rsidRPr="00A12B5C" w:rsidSect="007B7CE0">
          <w:footerReference w:type="default" r:id="rId3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94C5A" w:rsidRPr="00A12B5C" w:rsidRDefault="006B2390" w:rsidP="00FC23CE">
      <w:r w:rsidRPr="00A12B5C">
        <w:lastRenderedPageBreak/>
        <w:t>PRILOG 1. Stanje duga Županije Posavske na dan 31.12.201</w:t>
      </w:r>
      <w:r w:rsidR="00F265B5">
        <w:t>9</w:t>
      </w:r>
      <w:r w:rsidRPr="00A12B5C">
        <w:t>. godine</w:t>
      </w:r>
    </w:p>
    <w:p w:rsidR="006B2390" w:rsidRPr="00A12B5C" w:rsidRDefault="006B2390" w:rsidP="00FC23CE"/>
    <w:tbl>
      <w:tblPr>
        <w:tblW w:w="15877" w:type="dxa"/>
        <w:tblInd w:w="-743" w:type="dxa"/>
        <w:tblLayout w:type="fixed"/>
        <w:tblLook w:val="04A0"/>
      </w:tblPr>
      <w:tblGrid>
        <w:gridCol w:w="1135"/>
        <w:gridCol w:w="1417"/>
        <w:gridCol w:w="1134"/>
        <w:gridCol w:w="1560"/>
        <w:gridCol w:w="1417"/>
        <w:gridCol w:w="1276"/>
        <w:gridCol w:w="1276"/>
        <w:gridCol w:w="992"/>
        <w:gridCol w:w="992"/>
        <w:gridCol w:w="851"/>
        <w:gridCol w:w="850"/>
        <w:gridCol w:w="2977"/>
      </w:tblGrid>
      <w:tr w:rsidR="002A3816" w:rsidRPr="00A12B5C" w:rsidTr="002A3816">
        <w:trPr>
          <w:trHeight w:val="54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Kredit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 xml:space="preserve">Iznos </w:t>
            </w: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br/>
              <w:t>kredita u</w:t>
            </w: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br/>
              <w:t xml:space="preserve">originalnoj </w:t>
            </w: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br/>
              <w:t>valuti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Povučeni</w:t>
            </w: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br/>
              <w:t>iznos</w:t>
            </w: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br/>
              <w:t>kredita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F265B5">
            <w:pPr>
              <w:widowControl/>
              <w:jc w:val="center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Stanje duga</w:t>
            </w: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br/>
              <w:t>(na dan 31.12.201</w:t>
            </w:r>
            <w:r w:rsidR="00F265B5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9</w:t>
            </w: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Razdoblje otplate</w:t>
            </w: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br/>
              <w:t>kredita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Način stvaranja obveze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Svrha zaduženja</w:t>
            </w:r>
          </w:p>
        </w:tc>
      </w:tr>
      <w:tr w:rsidR="002A3816" w:rsidRPr="00A12B5C" w:rsidTr="002A3816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t>Kreditor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t>Naziv</w:t>
            </w: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br/>
              <w:t>kredita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t>Broj</w:t>
            </w: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br/>
              <w:t>kredita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16" w:rsidRPr="00A12B5C" w:rsidRDefault="002A3816" w:rsidP="006B2390">
            <w:pPr>
              <w:widowControl/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16" w:rsidRPr="00A12B5C" w:rsidRDefault="002A3816" w:rsidP="006B2390">
            <w:pPr>
              <w:widowControl/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t xml:space="preserve">u </w:t>
            </w: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br/>
              <w:t>originalnoj</w:t>
            </w: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br/>
              <w:t>valuti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t>u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t>glavnica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t>kamata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t>Izravnim</w:t>
            </w: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br/>
              <w:t>zaduženjem</w:t>
            </w: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br/>
              <w:t>Županije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t>Neizravno</w:t>
            </w:r>
            <w:r w:rsidRPr="00A12B5C"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  <w:br/>
              <w:t>zaduženje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b/>
                <w:bCs/>
                <w:sz w:val="12"/>
                <w:szCs w:val="12"/>
                <w:lang w:eastAsia="hr-HR"/>
              </w:rPr>
            </w:pPr>
          </w:p>
        </w:tc>
      </w:tr>
      <w:tr w:rsidR="002A3816" w:rsidRPr="00A12B5C" w:rsidTr="002A3816">
        <w:trPr>
          <w:trHeight w:val="1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sz w:val="12"/>
                <w:szCs w:val="12"/>
                <w:lang w:eastAsia="hr-HR"/>
              </w:rPr>
              <w:t>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sz w:val="12"/>
                <w:szCs w:val="12"/>
                <w:lang w:eastAsia="hr-H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sz w:val="12"/>
                <w:szCs w:val="12"/>
                <w:lang w:eastAsia="hr-H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2"/>
                <w:szCs w:val="12"/>
                <w:lang w:eastAsia="hr-HR"/>
              </w:rPr>
            </w:pPr>
            <w:r w:rsidRPr="00A12B5C">
              <w:rPr>
                <w:rFonts w:eastAsia="Times New Roman"/>
                <w:sz w:val="12"/>
                <w:szCs w:val="12"/>
                <w:lang w:eastAsia="hr-H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2"/>
                <w:szCs w:val="12"/>
                <w:lang w:eastAsia="hr-HR"/>
              </w:rPr>
            </w:pPr>
          </w:p>
        </w:tc>
      </w:tr>
      <w:tr w:rsidR="002A3816" w:rsidRPr="00A12B5C" w:rsidTr="002A3816">
        <w:trPr>
          <w:trHeight w:val="15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 xml:space="preserve">Fond za 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br/>
              <w:t>međunarodni razvoj / OPEC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Kredit za financiranje rekonstrukcije školskih objekata i nabavke odgovarajućeg školskog namještaja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D6714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OP-262-01-1196-</w:t>
            </w:r>
          </w:p>
          <w:p w:rsidR="002A3816" w:rsidRPr="00A12B5C" w:rsidRDefault="002A3816" w:rsidP="00D6714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 xml:space="preserve">V/02 </w:t>
            </w:r>
          </w:p>
          <w:p w:rsidR="002A3816" w:rsidRPr="00A12B5C" w:rsidRDefault="002A3816" w:rsidP="00D6714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Aneks 1, Br.:10850-1-V/05</w:t>
            </w:r>
          </w:p>
          <w:p w:rsidR="002A3816" w:rsidRPr="00A12B5C" w:rsidRDefault="002A3816" w:rsidP="00D6714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 xml:space="preserve">Aneks 2, </w:t>
            </w:r>
          </w:p>
          <w:p w:rsidR="002A3816" w:rsidRPr="00A12B5C" w:rsidRDefault="002A3816" w:rsidP="00D6714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Br.:3074-Pu/06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500.000,00 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665.610,50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F265B5" w:rsidP="00487805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>
              <w:rPr>
                <w:rFonts w:eastAsia="Times New Roman"/>
                <w:sz w:val="14"/>
                <w:szCs w:val="14"/>
                <w:lang w:eastAsia="hr-HR"/>
              </w:rPr>
              <w:t>0</w:t>
            </w:r>
            <w:r w:rsidR="002A3816" w:rsidRPr="00A12B5C">
              <w:rPr>
                <w:rFonts w:eastAsia="Times New Roman"/>
                <w:sz w:val="14"/>
                <w:szCs w:val="14"/>
                <w:lang w:eastAsia="hr-HR"/>
              </w:rPr>
              <w:t xml:space="preserve">,00 </w:t>
            </w:r>
            <w:r w:rsidR="00487805">
              <w:rPr>
                <w:rFonts w:eastAsia="Times New Roman"/>
                <w:sz w:val="14"/>
                <w:szCs w:val="14"/>
                <w:lang w:eastAsia="hr-HR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F265B5" w:rsidP="00F265B5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>
              <w:rPr>
                <w:rFonts w:eastAsia="Times New Roman"/>
                <w:sz w:val="14"/>
                <w:szCs w:val="14"/>
                <w:lang w:eastAsia="hr-HR"/>
              </w:rPr>
              <w:t>0</w:t>
            </w:r>
            <w:r w:rsidR="00482488">
              <w:rPr>
                <w:rFonts w:eastAsia="Times New Roman"/>
                <w:sz w:val="14"/>
                <w:szCs w:val="14"/>
                <w:lang w:eastAsia="hr-HR"/>
              </w:rPr>
              <w:t>,</w:t>
            </w:r>
            <w:r>
              <w:rPr>
                <w:rFonts w:eastAsia="Times New Roman"/>
                <w:sz w:val="14"/>
                <w:szCs w:val="14"/>
                <w:lang w:eastAsia="hr-HR"/>
              </w:rPr>
              <w:t>00</w:t>
            </w:r>
            <w:r w:rsidR="002A3816" w:rsidRPr="00A12B5C">
              <w:rPr>
                <w:rFonts w:eastAsia="Times New Roman"/>
                <w:sz w:val="14"/>
                <w:szCs w:val="14"/>
                <w:lang w:eastAsia="hr-HR"/>
              </w:rPr>
              <w:t xml:space="preserve">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01.01.2008.-01.07.2019.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01.07.2004.-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br/>
              <w:t>01.07.2019.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Financiranje rekonstrukcije školskih objekata i nabavke odgovarajućeg školskog namještaja</w:t>
            </w:r>
          </w:p>
        </w:tc>
      </w:tr>
      <w:tr w:rsidR="002A3816" w:rsidRPr="00A12B5C" w:rsidTr="002A3816">
        <w:trPr>
          <w:trHeight w:val="15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Unicredit Bank Austria 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Podugovor o kreditu za Projekt nabavke, obuke i održavanja medicinske i nemedicinske opreme i usluga u Kantonalnoj bolnici Orašje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D6714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 xml:space="preserve">08-14-4736/12 </w:t>
            </w:r>
          </w:p>
          <w:p w:rsidR="002A3816" w:rsidRPr="00A12B5C" w:rsidRDefault="002A3816" w:rsidP="00D6714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08-14-2474/15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1.980.000,00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2A3816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3.872.543,55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F265B5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1.</w:t>
            </w:r>
            <w:r w:rsidR="00F265B5">
              <w:rPr>
                <w:rFonts w:eastAsia="Times New Roman"/>
                <w:sz w:val="14"/>
                <w:szCs w:val="14"/>
                <w:lang w:eastAsia="hr-HR"/>
              </w:rPr>
              <w:t>54</w:t>
            </w:r>
            <w:r w:rsidR="00482488">
              <w:rPr>
                <w:rFonts w:eastAsia="Times New Roman"/>
                <w:sz w:val="14"/>
                <w:szCs w:val="14"/>
                <w:lang w:eastAsia="hr-HR"/>
              </w:rPr>
              <w:t>0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.000,00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F265B5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3.</w:t>
            </w:r>
            <w:r w:rsidR="00F265B5">
              <w:rPr>
                <w:rFonts w:eastAsia="Times New Roman"/>
                <w:sz w:val="14"/>
                <w:szCs w:val="14"/>
                <w:lang w:eastAsia="hr-HR"/>
              </w:rPr>
              <w:t>011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.</w:t>
            </w:r>
            <w:r w:rsidR="00F265B5">
              <w:rPr>
                <w:rFonts w:eastAsia="Times New Roman"/>
                <w:sz w:val="14"/>
                <w:szCs w:val="14"/>
                <w:lang w:eastAsia="hr-HR"/>
              </w:rPr>
              <w:t>978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,</w:t>
            </w:r>
            <w:r w:rsidR="00F265B5">
              <w:rPr>
                <w:rFonts w:eastAsia="Times New Roman"/>
                <w:sz w:val="14"/>
                <w:szCs w:val="14"/>
                <w:lang w:eastAsia="hr-HR"/>
              </w:rPr>
              <w:t>2</w:t>
            </w:r>
            <w:r w:rsidR="00482488">
              <w:rPr>
                <w:rFonts w:eastAsia="Times New Roman"/>
                <w:sz w:val="14"/>
                <w:szCs w:val="14"/>
                <w:lang w:eastAsia="hr-HR"/>
              </w:rPr>
              <w:t>0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 xml:space="preserve">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D6714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28.02.2018.-28.08.2026.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D6714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30.09.2012.-30.06.2026.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Financiranje, nabavka, instaliranje i održavanje medicinske i nemedicinske opreme i usluga u Kantonalnoj bolnici Orašje, te obuka i pružanje usluga</w:t>
            </w:r>
          </w:p>
        </w:tc>
      </w:tr>
      <w:tr w:rsidR="002A3816" w:rsidRPr="00A12B5C" w:rsidTr="002A3816">
        <w:trPr>
          <w:trHeight w:val="15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Export-Import Banka Koreja /EDCF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6B2390">
            <w:pPr>
              <w:widowControl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Podugovor o zajmu za Projekt Modernizacija bolnica u Bosni i Hercegovini - Faza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16" w:rsidRPr="00A12B5C" w:rsidRDefault="002A3816" w:rsidP="00D6714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 xml:space="preserve">08-14-2237/09 </w:t>
            </w:r>
          </w:p>
          <w:p w:rsidR="002A3816" w:rsidRPr="00A12B5C" w:rsidRDefault="002A3816" w:rsidP="00D6714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08-14-2474/15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482488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1.</w:t>
            </w:r>
            <w:r w:rsidR="00482488">
              <w:rPr>
                <w:rFonts w:eastAsia="Times New Roman"/>
                <w:sz w:val="14"/>
                <w:szCs w:val="14"/>
                <w:lang w:eastAsia="hr-HR"/>
              </w:rPr>
              <w:t>003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.</w:t>
            </w:r>
            <w:r w:rsidR="00482488">
              <w:rPr>
                <w:rFonts w:eastAsia="Times New Roman"/>
                <w:sz w:val="14"/>
                <w:szCs w:val="14"/>
                <w:lang w:eastAsia="hr-HR"/>
              </w:rPr>
              <w:t>882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.</w:t>
            </w:r>
            <w:r w:rsidR="00482488">
              <w:rPr>
                <w:rFonts w:eastAsia="Times New Roman"/>
                <w:sz w:val="14"/>
                <w:szCs w:val="14"/>
                <w:lang w:eastAsia="hr-HR"/>
              </w:rPr>
              <w:t>879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,0</w:t>
            </w:r>
            <w:r w:rsidR="00482488">
              <w:rPr>
                <w:rFonts w:eastAsia="Times New Roman"/>
                <w:sz w:val="14"/>
                <w:szCs w:val="14"/>
                <w:lang w:eastAsia="hr-HR"/>
              </w:rPr>
              <w:t>2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 xml:space="preserve"> KRW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2125F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1.</w:t>
            </w:r>
            <w:r w:rsidR="002125F2">
              <w:rPr>
                <w:rFonts w:eastAsia="Times New Roman"/>
                <w:sz w:val="14"/>
                <w:szCs w:val="14"/>
                <w:lang w:eastAsia="hr-HR"/>
              </w:rPr>
              <w:t>598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.</w:t>
            </w:r>
            <w:r w:rsidR="002125F2">
              <w:rPr>
                <w:rFonts w:eastAsia="Times New Roman"/>
                <w:sz w:val="14"/>
                <w:szCs w:val="14"/>
                <w:lang w:eastAsia="hr-HR"/>
              </w:rPr>
              <w:t>140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,</w:t>
            </w:r>
            <w:r w:rsidR="002125F2">
              <w:rPr>
                <w:rFonts w:eastAsia="Times New Roman"/>
                <w:sz w:val="14"/>
                <w:szCs w:val="14"/>
                <w:lang w:eastAsia="hr-HR"/>
              </w:rPr>
              <w:t>79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 xml:space="preserve"> 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125F2" w:rsidP="002125F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>
              <w:rPr>
                <w:rFonts w:eastAsia="Times New Roman"/>
                <w:sz w:val="14"/>
                <w:szCs w:val="14"/>
                <w:lang w:eastAsia="hr-HR"/>
              </w:rPr>
              <w:t>885</w:t>
            </w:r>
            <w:r w:rsidR="00482488">
              <w:rPr>
                <w:rFonts w:eastAsia="Times New Roman"/>
                <w:sz w:val="14"/>
                <w:szCs w:val="14"/>
                <w:lang w:eastAsia="hr-HR"/>
              </w:rPr>
              <w:t>.</w:t>
            </w:r>
            <w:r>
              <w:rPr>
                <w:rFonts w:eastAsia="Times New Roman"/>
                <w:sz w:val="14"/>
                <w:szCs w:val="14"/>
                <w:lang w:eastAsia="hr-HR"/>
              </w:rPr>
              <w:t>779</w:t>
            </w:r>
            <w:r w:rsidR="00482488">
              <w:rPr>
                <w:rFonts w:eastAsia="Times New Roman"/>
                <w:sz w:val="14"/>
                <w:szCs w:val="14"/>
                <w:lang w:eastAsia="hr-HR"/>
              </w:rPr>
              <w:t>.</w:t>
            </w:r>
            <w:r>
              <w:rPr>
                <w:rFonts w:eastAsia="Times New Roman"/>
                <w:sz w:val="14"/>
                <w:szCs w:val="14"/>
                <w:lang w:eastAsia="hr-HR"/>
              </w:rPr>
              <w:t>010</w:t>
            </w:r>
            <w:r w:rsidR="00482488">
              <w:rPr>
                <w:rFonts w:eastAsia="Times New Roman"/>
                <w:sz w:val="14"/>
                <w:szCs w:val="14"/>
                <w:lang w:eastAsia="hr-HR"/>
              </w:rPr>
              <w:t>,9</w:t>
            </w:r>
            <w:r>
              <w:rPr>
                <w:rFonts w:eastAsia="Times New Roman"/>
                <w:sz w:val="14"/>
                <w:szCs w:val="14"/>
                <w:lang w:eastAsia="hr-HR"/>
              </w:rPr>
              <w:t>0</w:t>
            </w:r>
            <w:r w:rsidR="002A3816" w:rsidRPr="00A12B5C">
              <w:rPr>
                <w:rFonts w:eastAsia="Times New Roman"/>
                <w:sz w:val="14"/>
                <w:szCs w:val="14"/>
                <w:lang w:eastAsia="hr-HR"/>
              </w:rPr>
              <w:t xml:space="preserve"> KRW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2125F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1.</w:t>
            </w:r>
            <w:r w:rsidR="002125F2">
              <w:rPr>
                <w:rFonts w:eastAsia="Times New Roman"/>
                <w:sz w:val="14"/>
                <w:szCs w:val="14"/>
                <w:lang w:eastAsia="hr-HR"/>
              </w:rPr>
              <w:t>422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.</w:t>
            </w:r>
            <w:r w:rsidR="002125F2">
              <w:rPr>
                <w:rFonts w:eastAsia="Times New Roman"/>
                <w:sz w:val="14"/>
                <w:szCs w:val="14"/>
                <w:lang w:eastAsia="hr-HR"/>
              </w:rPr>
              <w:t>314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,</w:t>
            </w:r>
            <w:r w:rsidR="002125F2">
              <w:rPr>
                <w:rFonts w:eastAsia="Times New Roman"/>
                <w:sz w:val="14"/>
                <w:szCs w:val="14"/>
                <w:lang w:eastAsia="hr-HR"/>
              </w:rPr>
              <w:t>54</w:t>
            </w:r>
            <w:r w:rsidRPr="00A12B5C">
              <w:rPr>
                <w:rFonts w:eastAsia="Times New Roman"/>
                <w:sz w:val="14"/>
                <w:szCs w:val="14"/>
                <w:lang w:eastAsia="hr-HR"/>
              </w:rPr>
              <w:t xml:space="preserve">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D6714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15.04.2018.-15.10.2034.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16" w:rsidRPr="00A12B5C" w:rsidRDefault="002A3816" w:rsidP="00D67142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20.04.2010.-15.10.2034.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16" w:rsidRPr="00A12B5C" w:rsidRDefault="002A3816" w:rsidP="006B2390">
            <w:pPr>
              <w:widowControl/>
              <w:jc w:val="center"/>
              <w:rPr>
                <w:rFonts w:eastAsia="Times New Roman"/>
                <w:sz w:val="14"/>
                <w:szCs w:val="14"/>
                <w:lang w:eastAsia="hr-HR"/>
              </w:rPr>
            </w:pPr>
            <w:r w:rsidRPr="00A12B5C">
              <w:rPr>
                <w:rFonts w:eastAsia="Times New Roman"/>
                <w:sz w:val="14"/>
                <w:szCs w:val="14"/>
                <w:lang w:eastAsia="hr-HR"/>
              </w:rPr>
              <w:t>Nabavka medicinske opreme i rezervnih dijelova radi modernizacije bolnica u Županiji Posavskoj, uvođenje novih vrsta medicinskih usluga i povećanje kvalitete pružanja medicinske zaštite</w:t>
            </w:r>
          </w:p>
        </w:tc>
      </w:tr>
    </w:tbl>
    <w:p w:rsidR="006B2390" w:rsidRPr="00A12B5C" w:rsidRDefault="006B2390" w:rsidP="00FC23CE">
      <w:pPr>
        <w:rPr>
          <w:sz w:val="16"/>
          <w:szCs w:val="16"/>
        </w:rPr>
      </w:pPr>
    </w:p>
    <w:sectPr w:rsidR="006B2390" w:rsidRPr="00A12B5C" w:rsidSect="006B2390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45" w:rsidRDefault="00B23A45" w:rsidP="007B7CE0">
      <w:r>
        <w:separator/>
      </w:r>
    </w:p>
  </w:endnote>
  <w:endnote w:type="continuationSeparator" w:id="0">
    <w:p w:rsidR="00B23A45" w:rsidRDefault="00B23A45" w:rsidP="007B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9166405"/>
      <w:docPartObj>
        <w:docPartGallery w:val="Page Numbers (Bottom of Page)"/>
        <w:docPartUnique/>
      </w:docPartObj>
    </w:sdtPr>
    <w:sdtContent>
      <w:p w:rsidR="00212735" w:rsidRDefault="00F2547B">
        <w:pPr>
          <w:pStyle w:val="Podnoje"/>
          <w:jc w:val="right"/>
        </w:pPr>
        <w:fldSimple w:instr="PAGE   \* MERGEFORMAT">
          <w:r w:rsidR="00D17290">
            <w:rPr>
              <w:noProof/>
            </w:rPr>
            <w:t>34</w:t>
          </w:r>
        </w:fldSimple>
      </w:p>
    </w:sdtContent>
  </w:sdt>
  <w:p w:rsidR="00212735" w:rsidRDefault="0021273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45" w:rsidRDefault="00B23A45" w:rsidP="007B7CE0">
      <w:r>
        <w:separator/>
      </w:r>
    </w:p>
  </w:footnote>
  <w:footnote w:type="continuationSeparator" w:id="0">
    <w:p w:rsidR="00B23A45" w:rsidRDefault="00B23A45" w:rsidP="007B7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61"/>
    <w:multiLevelType w:val="hybridMultilevel"/>
    <w:tmpl w:val="9D069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2600"/>
    <w:multiLevelType w:val="hybridMultilevel"/>
    <w:tmpl w:val="46EE7526"/>
    <w:lvl w:ilvl="0" w:tplc="F61C3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B49AD"/>
    <w:multiLevelType w:val="hybridMultilevel"/>
    <w:tmpl w:val="7BBE9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013A"/>
    <w:multiLevelType w:val="hybridMultilevel"/>
    <w:tmpl w:val="5D62F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94828"/>
    <w:multiLevelType w:val="hybridMultilevel"/>
    <w:tmpl w:val="BE5A01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590"/>
    <w:multiLevelType w:val="hybridMultilevel"/>
    <w:tmpl w:val="924614AE"/>
    <w:lvl w:ilvl="0" w:tplc="E904D40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82106"/>
    <w:multiLevelType w:val="hybridMultilevel"/>
    <w:tmpl w:val="E6F0067C"/>
    <w:lvl w:ilvl="0" w:tplc="E3D62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81268"/>
    <w:multiLevelType w:val="hybridMultilevel"/>
    <w:tmpl w:val="85B637A6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7E58F6"/>
    <w:multiLevelType w:val="hybridMultilevel"/>
    <w:tmpl w:val="F6A48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67F4"/>
    <w:multiLevelType w:val="hybridMultilevel"/>
    <w:tmpl w:val="B5389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50F"/>
    <w:multiLevelType w:val="hybridMultilevel"/>
    <w:tmpl w:val="72A21C9A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A7C5A"/>
    <w:multiLevelType w:val="hybridMultilevel"/>
    <w:tmpl w:val="A4E0C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F1832"/>
    <w:multiLevelType w:val="hybridMultilevel"/>
    <w:tmpl w:val="476C80D0"/>
    <w:lvl w:ilvl="0" w:tplc="1D6CF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83C4F"/>
    <w:multiLevelType w:val="hybridMultilevel"/>
    <w:tmpl w:val="E49AACF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5C15BA"/>
    <w:multiLevelType w:val="hybridMultilevel"/>
    <w:tmpl w:val="82323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770F7"/>
    <w:multiLevelType w:val="hybridMultilevel"/>
    <w:tmpl w:val="F986221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71ADE"/>
    <w:multiLevelType w:val="hybridMultilevel"/>
    <w:tmpl w:val="C1068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B3D47"/>
    <w:multiLevelType w:val="hybridMultilevel"/>
    <w:tmpl w:val="00762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20D8D"/>
    <w:multiLevelType w:val="hybridMultilevel"/>
    <w:tmpl w:val="25E88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71619"/>
    <w:multiLevelType w:val="hybridMultilevel"/>
    <w:tmpl w:val="F2068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D71BF"/>
    <w:multiLevelType w:val="hybridMultilevel"/>
    <w:tmpl w:val="FCBC7576"/>
    <w:lvl w:ilvl="0" w:tplc="22E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30F03"/>
    <w:multiLevelType w:val="hybridMultilevel"/>
    <w:tmpl w:val="1C565B00"/>
    <w:lvl w:ilvl="0" w:tplc="22E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268B2"/>
    <w:multiLevelType w:val="hybridMultilevel"/>
    <w:tmpl w:val="8FB81722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F0B2A"/>
    <w:multiLevelType w:val="hybridMultilevel"/>
    <w:tmpl w:val="F9BEB78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485EE5"/>
    <w:multiLevelType w:val="hybridMultilevel"/>
    <w:tmpl w:val="91F0141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40345"/>
    <w:multiLevelType w:val="hybridMultilevel"/>
    <w:tmpl w:val="17A6ACB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811CD"/>
    <w:multiLevelType w:val="hybridMultilevel"/>
    <w:tmpl w:val="346673E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F17F42"/>
    <w:multiLevelType w:val="hybridMultilevel"/>
    <w:tmpl w:val="696A92F2"/>
    <w:lvl w:ilvl="0" w:tplc="04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D6B3C"/>
    <w:multiLevelType w:val="hybridMultilevel"/>
    <w:tmpl w:val="7988B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F4B48"/>
    <w:multiLevelType w:val="hybridMultilevel"/>
    <w:tmpl w:val="8B640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76CA1"/>
    <w:multiLevelType w:val="hybridMultilevel"/>
    <w:tmpl w:val="5D782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75D1D"/>
    <w:multiLevelType w:val="hybridMultilevel"/>
    <w:tmpl w:val="0CB83320"/>
    <w:lvl w:ilvl="0" w:tplc="39666C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364C9"/>
    <w:multiLevelType w:val="hybridMultilevel"/>
    <w:tmpl w:val="719CE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966F7"/>
    <w:multiLevelType w:val="hybridMultilevel"/>
    <w:tmpl w:val="437A2738"/>
    <w:lvl w:ilvl="0" w:tplc="2824787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2367C"/>
    <w:multiLevelType w:val="hybridMultilevel"/>
    <w:tmpl w:val="A210BFBE"/>
    <w:lvl w:ilvl="0" w:tplc="02F606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76092"/>
    <w:multiLevelType w:val="hybridMultilevel"/>
    <w:tmpl w:val="0DA0197A"/>
    <w:lvl w:ilvl="0" w:tplc="22E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D3B07"/>
    <w:multiLevelType w:val="hybridMultilevel"/>
    <w:tmpl w:val="613CB60A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5466DD3"/>
    <w:multiLevelType w:val="hybridMultilevel"/>
    <w:tmpl w:val="20BC4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06D0A"/>
    <w:multiLevelType w:val="hybridMultilevel"/>
    <w:tmpl w:val="DDF47E9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BA64F1"/>
    <w:multiLevelType w:val="hybridMultilevel"/>
    <w:tmpl w:val="6068F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341F1"/>
    <w:multiLevelType w:val="hybridMultilevel"/>
    <w:tmpl w:val="1F2055DA"/>
    <w:lvl w:ilvl="0" w:tplc="04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>
    <w:nsid w:val="736C5558"/>
    <w:multiLevelType w:val="hybridMultilevel"/>
    <w:tmpl w:val="C50E3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E1034"/>
    <w:multiLevelType w:val="hybridMultilevel"/>
    <w:tmpl w:val="07D00F20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53352"/>
    <w:multiLevelType w:val="hybridMultilevel"/>
    <w:tmpl w:val="0BEA9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40420"/>
    <w:multiLevelType w:val="hybridMultilevel"/>
    <w:tmpl w:val="69208D20"/>
    <w:lvl w:ilvl="0" w:tplc="3BD248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9A45273"/>
    <w:multiLevelType w:val="hybridMultilevel"/>
    <w:tmpl w:val="F78EB4DC"/>
    <w:lvl w:ilvl="0" w:tplc="28025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3"/>
  </w:num>
  <w:num w:numId="4">
    <w:abstractNumId w:val="18"/>
  </w:num>
  <w:num w:numId="5">
    <w:abstractNumId w:val="33"/>
  </w:num>
  <w:num w:numId="6">
    <w:abstractNumId w:val="45"/>
  </w:num>
  <w:num w:numId="7">
    <w:abstractNumId w:val="43"/>
  </w:num>
  <w:num w:numId="8">
    <w:abstractNumId w:val="11"/>
  </w:num>
  <w:num w:numId="9">
    <w:abstractNumId w:val="37"/>
  </w:num>
  <w:num w:numId="10">
    <w:abstractNumId w:val="40"/>
  </w:num>
  <w:num w:numId="11">
    <w:abstractNumId w:val="29"/>
  </w:num>
  <w:num w:numId="12">
    <w:abstractNumId w:val="24"/>
  </w:num>
  <w:num w:numId="13">
    <w:abstractNumId w:val="42"/>
  </w:num>
  <w:num w:numId="14">
    <w:abstractNumId w:val="6"/>
  </w:num>
  <w:num w:numId="15">
    <w:abstractNumId w:val="32"/>
  </w:num>
  <w:num w:numId="16">
    <w:abstractNumId w:val="15"/>
  </w:num>
  <w:num w:numId="17">
    <w:abstractNumId w:val="39"/>
  </w:num>
  <w:num w:numId="18">
    <w:abstractNumId w:val="22"/>
  </w:num>
  <w:num w:numId="19">
    <w:abstractNumId w:val="23"/>
  </w:num>
  <w:num w:numId="20">
    <w:abstractNumId w:val="1"/>
  </w:num>
  <w:num w:numId="21">
    <w:abstractNumId w:val="35"/>
  </w:num>
  <w:num w:numId="22">
    <w:abstractNumId w:val="41"/>
  </w:num>
  <w:num w:numId="23">
    <w:abstractNumId w:val="25"/>
  </w:num>
  <w:num w:numId="24">
    <w:abstractNumId w:val="31"/>
  </w:num>
  <w:num w:numId="25">
    <w:abstractNumId w:val="30"/>
  </w:num>
  <w:num w:numId="26">
    <w:abstractNumId w:val="12"/>
  </w:num>
  <w:num w:numId="27">
    <w:abstractNumId w:val="8"/>
  </w:num>
  <w:num w:numId="28">
    <w:abstractNumId w:val="26"/>
  </w:num>
  <w:num w:numId="29">
    <w:abstractNumId w:val="13"/>
  </w:num>
  <w:num w:numId="30">
    <w:abstractNumId w:val="10"/>
  </w:num>
  <w:num w:numId="31">
    <w:abstractNumId w:val="38"/>
  </w:num>
  <w:num w:numId="32">
    <w:abstractNumId w:val="27"/>
  </w:num>
  <w:num w:numId="33">
    <w:abstractNumId w:val="5"/>
  </w:num>
  <w:num w:numId="34">
    <w:abstractNumId w:val="19"/>
  </w:num>
  <w:num w:numId="35">
    <w:abstractNumId w:val="16"/>
  </w:num>
  <w:num w:numId="36">
    <w:abstractNumId w:val="20"/>
  </w:num>
  <w:num w:numId="37">
    <w:abstractNumId w:val="21"/>
  </w:num>
  <w:num w:numId="38">
    <w:abstractNumId w:val="0"/>
  </w:num>
  <w:num w:numId="39">
    <w:abstractNumId w:val="2"/>
  </w:num>
  <w:num w:numId="40">
    <w:abstractNumId w:val="14"/>
  </w:num>
  <w:num w:numId="41">
    <w:abstractNumId w:val="34"/>
  </w:num>
  <w:num w:numId="42">
    <w:abstractNumId w:val="36"/>
  </w:num>
  <w:num w:numId="43">
    <w:abstractNumId w:val="9"/>
  </w:num>
  <w:num w:numId="44">
    <w:abstractNumId w:val="7"/>
  </w:num>
  <w:num w:numId="45">
    <w:abstractNumId w:val="4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95"/>
    <w:rsid w:val="000002F9"/>
    <w:rsid w:val="00003BC0"/>
    <w:rsid w:val="000044C6"/>
    <w:rsid w:val="00006394"/>
    <w:rsid w:val="000068B8"/>
    <w:rsid w:val="00016F13"/>
    <w:rsid w:val="00017DB8"/>
    <w:rsid w:val="00025C36"/>
    <w:rsid w:val="00027E49"/>
    <w:rsid w:val="00032257"/>
    <w:rsid w:val="00032706"/>
    <w:rsid w:val="000404AD"/>
    <w:rsid w:val="0004064E"/>
    <w:rsid w:val="00046C04"/>
    <w:rsid w:val="000600AF"/>
    <w:rsid w:val="000630C6"/>
    <w:rsid w:val="00063C32"/>
    <w:rsid w:val="00065613"/>
    <w:rsid w:val="00071BB1"/>
    <w:rsid w:val="000769A5"/>
    <w:rsid w:val="00087DC0"/>
    <w:rsid w:val="00090873"/>
    <w:rsid w:val="0009476C"/>
    <w:rsid w:val="00095525"/>
    <w:rsid w:val="00096219"/>
    <w:rsid w:val="000A0C3F"/>
    <w:rsid w:val="000A0F49"/>
    <w:rsid w:val="000A103B"/>
    <w:rsid w:val="000A2C43"/>
    <w:rsid w:val="000B725C"/>
    <w:rsid w:val="000C0187"/>
    <w:rsid w:val="000C1868"/>
    <w:rsid w:val="000C75AE"/>
    <w:rsid w:val="000D30C0"/>
    <w:rsid w:val="000D5396"/>
    <w:rsid w:val="000E46AB"/>
    <w:rsid w:val="000E46D4"/>
    <w:rsid w:val="000E5B3D"/>
    <w:rsid w:val="000F440B"/>
    <w:rsid w:val="001032D3"/>
    <w:rsid w:val="00106191"/>
    <w:rsid w:val="0010660C"/>
    <w:rsid w:val="00117E38"/>
    <w:rsid w:val="00122F5D"/>
    <w:rsid w:val="00127DB8"/>
    <w:rsid w:val="00130DAE"/>
    <w:rsid w:val="00133780"/>
    <w:rsid w:val="00137385"/>
    <w:rsid w:val="00146E7C"/>
    <w:rsid w:val="00150110"/>
    <w:rsid w:val="001504B2"/>
    <w:rsid w:val="00151785"/>
    <w:rsid w:val="001570C4"/>
    <w:rsid w:val="00157140"/>
    <w:rsid w:val="00157701"/>
    <w:rsid w:val="001606E5"/>
    <w:rsid w:val="001629A4"/>
    <w:rsid w:val="00162DDA"/>
    <w:rsid w:val="00165715"/>
    <w:rsid w:val="00173491"/>
    <w:rsid w:val="001736F3"/>
    <w:rsid w:val="00173B9C"/>
    <w:rsid w:val="00174B34"/>
    <w:rsid w:val="00184F45"/>
    <w:rsid w:val="00185A1E"/>
    <w:rsid w:val="00187D58"/>
    <w:rsid w:val="0019155A"/>
    <w:rsid w:val="001943C2"/>
    <w:rsid w:val="001A12AF"/>
    <w:rsid w:val="001A3ADF"/>
    <w:rsid w:val="001A4C39"/>
    <w:rsid w:val="001B190E"/>
    <w:rsid w:val="001B4801"/>
    <w:rsid w:val="001C116F"/>
    <w:rsid w:val="001C2647"/>
    <w:rsid w:val="001D4DAA"/>
    <w:rsid w:val="001D5487"/>
    <w:rsid w:val="001D60BF"/>
    <w:rsid w:val="001E5E25"/>
    <w:rsid w:val="001E78AD"/>
    <w:rsid w:val="001F3612"/>
    <w:rsid w:val="001F410B"/>
    <w:rsid w:val="001F4F54"/>
    <w:rsid w:val="001F51A8"/>
    <w:rsid w:val="001F544F"/>
    <w:rsid w:val="001F5D16"/>
    <w:rsid w:val="00200BDD"/>
    <w:rsid w:val="00201598"/>
    <w:rsid w:val="00203398"/>
    <w:rsid w:val="00206879"/>
    <w:rsid w:val="00207898"/>
    <w:rsid w:val="002125F2"/>
    <w:rsid w:val="00212735"/>
    <w:rsid w:val="002153B6"/>
    <w:rsid w:val="002159B2"/>
    <w:rsid w:val="00215E1C"/>
    <w:rsid w:val="00217BFA"/>
    <w:rsid w:val="002240A2"/>
    <w:rsid w:val="002273EB"/>
    <w:rsid w:val="00232DD9"/>
    <w:rsid w:val="002374CB"/>
    <w:rsid w:val="00237E33"/>
    <w:rsid w:val="00250FE8"/>
    <w:rsid w:val="00253CA1"/>
    <w:rsid w:val="002549C3"/>
    <w:rsid w:val="00255AC1"/>
    <w:rsid w:val="00255D02"/>
    <w:rsid w:val="00256C4B"/>
    <w:rsid w:val="0026183C"/>
    <w:rsid w:val="00261B4B"/>
    <w:rsid w:val="00264F23"/>
    <w:rsid w:val="00265F70"/>
    <w:rsid w:val="0027084E"/>
    <w:rsid w:val="00272963"/>
    <w:rsid w:val="00273F2F"/>
    <w:rsid w:val="0027402C"/>
    <w:rsid w:val="00274867"/>
    <w:rsid w:val="002806ED"/>
    <w:rsid w:val="002817A9"/>
    <w:rsid w:val="00281A14"/>
    <w:rsid w:val="002842A7"/>
    <w:rsid w:val="002850E4"/>
    <w:rsid w:val="00290C03"/>
    <w:rsid w:val="00293B3F"/>
    <w:rsid w:val="00294AC7"/>
    <w:rsid w:val="00295607"/>
    <w:rsid w:val="00295C5D"/>
    <w:rsid w:val="002A0B98"/>
    <w:rsid w:val="002A3816"/>
    <w:rsid w:val="002A39C2"/>
    <w:rsid w:val="002A484B"/>
    <w:rsid w:val="002A49EE"/>
    <w:rsid w:val="002B6584"/>
    <w:rsid w:val="002C6B08"/>
    <w:rsid w:val="002D0534"/>
    <w:rsid w:val="002D3B2D"/>
    <w:rsid w:val="002D448D"/>
    <w:rsid w:val="002D465C"/>
    <w:rsid w:val="002D7FA6"/>
    <w:rsid w:val="002E237D"/>
    <w:rsid w:val="002E261C"/>
    <w:rsid w:val="002E59A8"/>
    <w:rsid w:val="002E6564"/>
    <w:rsid w:val="002F3AA8"/>
    <w:rsid w:val="002F4092"/>
    <w:rsid w:val="002F5379"/>
    <w:rsid w:val="002F719A"/>
    <w:rsid w:val="00306627"/>
    <w:rsid w:val="003068AD"/>
    <w:rsid w:val="00307E33"/>
    <w:rsid w:val="00315E39"/>
    <w:rsid w:val="003208EB"/>
    <w:rsid w:val="00320EF2"/>
    <w:rsid w:val="00320F17"/>
    <w:rsid w:val="00322867"/>
    <w:rsid w:val="00325ABB"/>
    <w:rsid w:val="00326066"/>
    <w:rsid w:val="0032794D"/>
    <w:rsid w:val="00330D1B"/>
    <w:rsid w:val="00332F24"/>
    <w:rsid w:val="00333CD9"/>
    <w:rsid w:val="003344BF"/>
    <w:rsid w:val="00341B84"/>
    <w:rsid w:val="003431B6"/>
    <w:rsid w:val="00346929"/>
    <w:rsid w:val="00347F7F"/>
    <w:rsid w:val="003543DC"/>
    <w:rsid w:val="00362F88"/>
    <w:rsid w:val="00363D55"/>
    <w:rsid w:val="00363FFB"/>
    <w:rsid w:val="00371295"/>
    <w:rsid w:val="003765A1"/>
    <w:rsid w:val="00380DE5"/>
    <w:rsid w:val="003862FC"/>
    <w:rsid w:val="00391737"/>
    <w:rsid w:val="00392366"/>
    <w:rsid w:val="00392CCB"/>
    <w:rsid w:val="00392CFF"/>
    <w:rsid w:val="00394B4A"/>
    <w:rsid w:val="00397FFE"/>
    <w:rsid w:val="003A05D0"/>
    <w:rsid w:val="003A4C21"/>
    <w:rsid w:val="003B1B4E"/>
    <w:rsid w:val="003B3CF1"/>
    <w:rsid w:val="003B5D0E"/>
    <w:rsid w:val="003C1BB3"/>
    <w:rsid w:val="003C6862"/>
    <w:rsid w:val="003D041C"/>
    <w:rsid w:val="003D4B9E"/>
    <w:rsid w:val="003E0AEF"/>
    <w:rsid w:val="003E1461"/>
    <w:rsid w:val="003E29C8"/>
    <w:rsid w:val="003E36BF"/>
    <w:rsid w:val="003F40BB"/>
    <w:rsid w:val="003F4475"/>
    <w:rsid w:val="003F4692"/>
    <w:rsid w:val="00403B9E"/>
    <w:rsid w:val="004047A7"/>
    <w:rsid w:val="0040653D"/>
    <w:rsid w:val="00410DA1"/>
    <w:rsid w:val="004136DC"/>
    <w:rsid w:val="004144CB"/>
    <w:rsid w:val="00426051"/>
    <w:rsid w:val="004270A0"/>
    <w:rsid w:val="00430072"/>
    <w:rsid w:val="00430A45"/>
    <w:rsid w:val="0043172B"/>
    <w:rsid w:val="00431E6F"/>
    <w:rsid w:val="00434067"/>
    <w:rsid w:val="004369FB"/>
    <w:rsid w:val="0044464D"/>
    <w:rsid w:val="0044639C"/>
    <w:rsid w:val="00453F79"/>
    <w:rsid w:val="004562A7"/>
    <w:rsid w:val="0045708E"/>
    <w:rsid w:val="004571E7"/>
    <w:rsid w:val="00464F4D"/>
    <w:rsid w:val="00467332"/>
    <w:rsid w:val="004675A9"/>
    <w:rsid w:val="004820B3"/>
    <w:rsid w:val="00482488"/>
    <w:rsid w:val="00483B7C"/>
    <w:rsid w:val="00483CAC"/>
    <w:rsid w:val="00485E6A"/>
    <w:rsid w:val="00487805"/>
    <w:rsid w:val="00491B9F"/>
    <w:rsid w:val="00493439"/>
    <w:rsid w:val="00496A03"/>
    <w:rsid w:val="00497006"/>
    <w:rsid w:val="004A0605"/>
    <w:rsid w:val="004A0B2C"/>
    <w:rsid w:val="004A2CF9"/>
    <w:rsid w:val="004A6F2A"/>
    <w:rsid w:val="004B4355"/>
    <w:rsid w:val="004C1C42"/>
    <w:rsid w:val="004C2C04"/>
    <w:rsid w:val="004C2E0E"/>
    <w:rsid w:val="004C516F"/>
    <w:rsid w:val="004D0C5E"/>
    <w:rsid w:val="004D24AB"/>
    <w:rsid w:val="004D3FAB"/>
    <w:rsid w:val="004D6FBF"/>
    <w:rsid w:val="004E0A75"/>
    <w:rsid w:val="004E34D3"/>
    <w:rsid w:val="004E563C"/>
    <w:rsid w:val="004E5C0F"/>
    <w:rsid w:val="004E6AF8"/>
    <w:rsid w:val="004E75F4"/>
    <w:rsid w:val="004F1E18"/>
    <w:rsid w:val="004F38AF"/>
    <w:rsid w:val="004F3C9A"/>
    <w:rsid w:val="00502C1F"/>
    <w:rsid w:val="005036E2"/>
    <w:rsid w:val="00504466"/>
    <w:rsid w:val="00511168"/>
    <w:rsid w:val="00515156"/>
    <w:rsid w:val="00523906"/>
    <w:rsid w:val="0052640F"/>
    <w:rsid w:val="005265F8"/>
    <w:rsid w:val="00526BE5"/>
    <w:rsid w:val="00532AB2"/>
    <w:rsid w:val="00533473"/>
    <w:rsid w:val="00534C2D"/>
    <w:rsid w:val="00537A9F"/>
    <w:rsid w:val="00541C44"/>
    <w:rsid w:val="00543A10"/>
    <w:rsid w:val="00544181"/>
    <w:rsid w:val="00545D61"/>
    <w:rsid w:val="005460F5"/>
    <w:rsid w:val="00550607"/>
    <w:rsid w:val="00551749"/>
    <w:rsid w:val="00555DFD"/>
    <w:rsid w:val="00560CEA"/>
    <w:rsid w:val="005614C7"/>
    <w:rsid w:val="0056244E"/>
    <w:rsid w:val="00562C18"/>
    <w:rsid w:val="00562D12"/>
    <w:rsid w:val="0056484C"/>
    <w:rsid w:val="005706B4"/>
    <w:rsid w:val="005741C1"/>
    <w:rsid w:val="00574AB7"/>
    <w:rsid w:val="0057589E"/>
    <w:rsid w:val="00576C8F"/>
    <w:rsid w:val="005815AD"/>
    <w:rsid w:val="005827B8"/>
    <w:rsid w:val="00584EC4"/>
    <w:rsid w:val="00586635"/>
    <w:rsid w:val="005B7108"/>
    <w:rsid w:val="005C1B72"/>
    <w:rsid w:val="005D028A"/>
    <w:rsid w:val="005D3931"/>
    <w:rsid w:val="005E2E3F"/>
    <w:rsid w:val="005E517A"/>
    <w:rsid w:val="005E5BDD"/>
    <w:rsid w:val="005F0617"/>
    <w:rsid w:val="005F0998"/>
    <w:rsid w:val="00601F3E"/>
    <w:rsid w:val="006039B2"/>
    <w:rsid w:val="00603D2E"/>
    <w:rsid w:val="00603FF6"/>
    <w:rsid w:val="006057E6"/>
    <w:rsid w:val="00607802"/>
    <w:rsid w:val="0061111E"/>
    <w:rsid w:val="006117AF"/>
    <w:rsid w:val="00612567"/>
    <w:rsid w:val="00612769"/>
    <w:rsid w:val="00625C50"/>
    <w:rsid w:val="00627C88"/>
    <w:rsid w:val="0063270A"/>
    <w:rsid w:val="006336A5"/>
    <w:rsid w:val="006343B4"/>
    <w:rsid w:val="006406F8"/>
    <w:rsid w:val="00640FDF"/>
    <w:rsid w:val="00642624"/>
    <w:rsid w:val="00642BFC"/>
    <w:rsid w:val="00652A7A"/>
    <w:rsid w:val="0065574A"/>
    <w:rsid w:val="00655F1B"/>
    <w:rsid w:val="006560FE"/>
    <w:rsid w:val="006630B5"/>
    <w:rsid w:val="00666188"/>
    <w:rsid w:val="0066777D"/>
    <w:rsid w:val="006763BC"/>
    <w:rsid w:val="00681EB5"/>
    <w:rsid w:val="00682FEF"/>
    <w:rsid w:val="00687A2C"/>
    <w:rsid w:val="0069070D"/>
    <w:rsid w:val="00690A7A"/>
    <w:rsid w:val="006A2F26"/>
    <w:rsid w:val="006A5D8E"/>
    <w:rsid w:val="006A616B"/>
    <w:rsid w:val="006A7FD2"/>
    <w:rsid w:val="006B0BC7"/>
    <w:rsid w:val="006B2390"/>
    <w:rsid w:val="006B34A9"/>
    <w:rsid w:val="006B633D"/>
    <w:rsid w:val="006C3C41"/>
    <w:rsid w:val="006C3C7E"/>
    <w:rsid w:val="006C4FDF"/>
    <w:rsid w:val="006C539D"/>
    <w:rsid w:val="006D662A"/>
    <w:rsid w:val="006E47E3"/>
    <w:rsid w:val="006E7E13"/>
    <w:rsid w:val="006F11D3"/>
    <w:rsid w:val="006F2EBE"/>
    <w:rsid w:val="006F68FA"/>
    <w:rsid w:val="00701E41"/>
    <w:rsid w:val="00702818"/>
    <w:rsid w:val="00703FB9"/>
    <w:rsid w:val="007102F7"/>
    <w:rsid w:val="007136CE"/>
    <w:rsid w:val="00713BE8"/>
    <w:rsid w:val="007145D5"/>
    <w:rsid w:val="00714AB4"/>
    <w:rsid w:val="007201B6"/>
    <w:rsid w:val="00731DDC"/>
    <w:rsid w:val="00735079"/>
    <w:rsid w:val="00735938"/>
    <w:rsid w:val="00736693"/>
    <w:rsid w:val="00736B0F"/>
    <w:rsid w:val="00740FD3"/>
    <w:rsid w:val="00741F39"/>
    <w:rsid w:val="007423EB"/>
    <w:rsid w:val="0074313E"/>
    <w:rsid w:val="00743529"/>
    <w:rsid w:val="00743CA9"/>
    <w:rsid w:val="00744D8F"/>
    <w:rsid w:val="00745741"/>
    <w:rsid w:val="00747AE6"/>
    <w:rsid w:val="007505A5"/>
    <w:rsid w:val="007531C5"/>
    <w:rsid w:val="00761289"/>
    <w:rsid w:val="007615E6"/>
    <w:rsid w:val="00763E8F"/>
    <w:rsid w:val="00766E3D"/>
    <w:rsid w:val="00771B17"/>
    <w:rsid w:val="0077285E"/>
    <w:rsid w:val="007732B6"/>
    <w:rsid w:val="0077465E"/>
    <w:rsid w:val="0078469C"/>
    <w:rsid w:val="007855E7"/>
    <w:rsid w:val="0078663B"/>
    <w:rsid w:val="00786AC5"/>
    <w:rsid w:val="00792793"/>
    <w:rsid w:val="007937D9"/>
    <w:rsid w:val="00796904"/>
    <w:rsid w:val="007A2AAB"/>
    <w:rsid w:val="007A52F7"/>
    <w:rsid w:val="007B0949"/>
    <w:rsid w:val="007B1C26"/>
    <w:rsid w:val="007B346C"/>
    <w:rsid w:val="007B4703"/>
    <w:rsid w:val="007B7CE0"/>
    <w:rsid w:val="007C050D"/>
    <w:rsid w:val="007C1117"/>
    <w:rsid w:val="007C41F4"/>
    <w:rsid w:val="007C579B"/>
    <w:rsid w:val="007D593C"/>
    <w:rsid w:val="007D697C"/>
    <w:rsid w:val="007E6526"/>
    <w:rsid w:val="007F2FF8"/>
    <w:rsid w:val="00807142"/>
    <w:rsid w:val="008133D5"/>
    <w:rsid w:val="00814606"/>
    <w:rsid w:val="00815074"/>
    <w:rsid w:val="008177B5"/>
    <w:rsid w:val="008202B3"/>
    <w:rsid w:val="0082596C"/>
    <w:rsid w:val="0083359D"/>
    <w:rsid w:val="00834128"/>
    <w:rsid w:val="008372F7"/>
    <w:rsid w:val="008437B9"/>
    <w:rsid w:val="008455C2"/>
    <w:rsid w:val="00846DC4"/>
    <w:rsid w:val="008506B6"/>
    <w:rsid w:val="00852F00"/>
    <w:rsid w:val="00860135"/>
    <w:rsid w:val="008625AF"/>
    <w:rsid w:val="00865A96"/>
    <w:rsid w:val="00865F4F"/>
    <w:rsid w:val="00871B25"/>
    <w:rsid w:val="0088525A"/>
    <w:rsid w:val="00885F78"/>
    <w:rsid w:val="00887AB1"/>
    <w:rsid w:val="00890C24"/>
    <w:rsid w:val="00891F5B"/>
    <w:rsid w:val="008932D0"/>
    <w:rsid w:val="0089445A"/>
    <w:rsid w:val="00897020"/>
    <w:rsid w:val="008A080C"/>
    <w:rsid w:val="008A154E"/>
    <w:rsid w:val="008A22E1"/>
    <w:rsid w:val="008A4560"/>
    <w:rsid w:val="008A4F95"/>
    <w:rsid w:val="008A5F5C"/>
    <w:rsid w:val="008A650D"/>
    <w:rsid w:val="008B71A0"/>
    <w:rsid w:val="008C59DE"/>
    <w:rsid w:val="008C7139"/>
    <w:rsid w:val="008D13F8"/>
    <w:rsid w:val="008D2555"/>
    <w:rsid w:val="008D4927"/>
    <w:rsid w:val="008E17DD"/>
    <w:rsid w:val="008E2136"/>
    <w:rsid w:val="008F271D"/>
    <w:rsid w:val="008F5CD1"/>
    <w:rsid w:val="00900F99"/>
    <w:rsid w:val="00903F90"/>
    <w:rsid w:val="0090407D"/>
    <w:rsid w:val="00910E0A"/>
    <w:rsid w:val="00912187"/>
    <w:rsid w:val="00920386"/>
    <w:rsid w:val="00922737"/>
    <w:rsid w:val="00922C90"/>
    <w:rsid w:val="009247C8"/>
    <w:rsid w:val="00925AD6"/>
    <w:rsid w:val="00926C84"/>
    <w:rsid w:val="0093034D"/>
    <w:rsid w:val="009314BA"/>
    <w:rsid w:val="009365B4"/>
    <w:rsid w:val="00937691"/>
    <w:rsid w:val="009409AE"/>
    <w:rsid w:val="00942C0F"/>
    <w:rsid w:val="009430EC"/>
    <w:rsid w:val="00943717"/>
    <w:rsid w:val="00946763"/>
    <w:rsid w:val="00952167"/>
    <w:rsid w:val="00952C5A"/>
    <w:rsid w:val="009554E4"/>
    <w:rsid w:val="00957836"/>
    <w:rsid w:val="00962D1A"/>
    <w:rsid w:val="00965FC9"/>
    <w:rsid w:val="0096734E"/>
    <w:rsid w:val="00967F2A"/>
    <w:rsid w:val="00972848"/>
    <w:rsid w:val="00973194"/>
    <w:rsid w:val="0098324F"/>
    <w:rsid w:val="009865CD"/>
    <w:rsid w:val="00991943"/>
    <w:rsid w:val="00992400"/>
    <w:rsid w:val="00995CA4"/>
    <w:rsid w:val="00996D01"/>
    <w:rsid w:val="009A690D"/>
    <w:rsid w:val="009A72EC"/>
    <w:rsid w:val="009A77D1"/>
    <w:rsid w:val="009B127F"/>
    <w:rsid w:val="009B16F3"/>
    <w:rsid w:val="009B2CEF"/>
    <w:rsid w:val="009B2F19"/>
    <w:rsid w:val="009B3CE6"/>
    <w:rsid w:val="009B5283"/>
    <w:rsid w:val="009C0A69"/>
    <w:rsid w:val="009C386F"/>
    <w:rsid w:val="009C3AD9"/>
    <w:rsid w:val="009C5A98"/>
    <w:rsid w:val="009D22A5"/>
    <w:rsid w:val="009D2DDD"/>
    <w:rsid w:val="009D4BD9"/>
    <w:rsid w:val="009D6123"/>
    <w:rsid w:val="009F00A2"/>
    <w:rsid w:val="009F18B0"/>
    <w:rsid w:val="009F215C"/>
    <w:rsid w:val="009F2ECB"/>
    <w:rsid w:val="009F559C"/>
    <w:rsid w:val="009F565C"/>
    <w:rsid w:val="009F7202"/>
    <w:rsid w:val="009F75C7"/>
    <w:rsid w:val="00A07870"/>
    <w:rsid w:val="00A12B5C"/>
    <w:rsid w:val="00A141CE"/>
    <w:rsid w:val="00A14807"/>
    <w:rsid w:val="00A15200"/>
    <w:rsid w:val="00A21F1C"/>
    <w:rsid w:val="00A24189"/>
    <w:rsid w:val="00A2731C"/>
    <w:rsid w:val="00A277AB"/>
    <w:rsid w:val="00A3238D"/>
    <w:rsid w:val="00A33262"/>
    <w:rsid w:val="00A35AF4"/>
    <w:rsid w:val="00A3610E"/>
    <w:rsid w:val="00A36A0D"/>
    <w:rsid w:val="00A52BB2"/>
    <w:rsid w:val="00A5455C"/>
    <w:rsid w:val="00A5489D"/>
    <w:rsid w:val="00A54DF8"/>
    <w:rsid w:val="00A56837"/>
    <w:rsid w:val="00A57316"/>
    <w:rsid w:val="00A5796C"/>
    <w:rsid w:val="00A64043"/>
    <w:rsid w:val="00A64280"/>
    <w:rsid w:val="00A67DC8"/>
    <w:rsid w:val="00A71BCB"/>
    <w:rsid w:val="00A72A6F"/>
    <w:rsid w:val="00A82D21"/>
    <w:rsid w:val="00A832B5"/>
    <w:rsid w:val="00A83B21"/>
    <w:rsid w:val="00A83C52"/>
    <w:rsid w:val="00A862F4"/>
    <w:rsid w:val="00A8786F"/>
    <w:rsid w:val="00A921A0"/>
    <w:rsid w:val="00A935A6"/>
    <w:rsid w:val="00A93B1E"/>
    <w:rsid w:val="00AA029B"/>
    <w:rsid w:val="00AA488B"/>
    <w:rsid w:val="00AA4E68"/>
    <w:rsid w:val="00AA7557"/>
    <w:rsid w:val="00AB5181"/>
    <w:rsid w:val="00AB55C2"/>
    <w:rsid w:val="00AB78CE"/>
    <w:rsid w:val="00AC04C8"/>
    <w:rsid w:val="00AC0756"/>
    <w:rsid w:val="00AC1700"/>
    <w:rsid w:val="00AC3905"/>
    <w:rsid w:val="00AC4464"/>
    <w:rsid w:val="00AC71A3"/>
    <w:rsid w:val="00AD006E"/>
    <w:rsid w:val="00AD0527"/>
    <w:rsid w:val="00AD16F2"/>
    <w:rsid w:val="00AE0E5A"/>
    <w:rsid w:val="00AE122F"/>
    <w:rsid w:val="00AE3112"/>
    <w:rsid w:val="00AE3328"/>
    <w:rsid w:val="00AE5786"/>
    <w:rsid w:val="00AF0739"/>
    <w:rsid w:val="00AF1B19"/>
    <w:rsid w:val="00AF4151"/>
    <w:rsid w:val="00AF4F34"/>
    <w:rsid w:val="00B01B3C"/>
    <w:rsid w:val="00B029DB"/>
    <w:rsid w:val="00B02F52"/>
    <w:rsid w:val="00B06E8D"/>
    <w:rsid w:val="00B10F60"/>
    <w:rsid w:val="00B126B8"/>
    <w:rsid w:val="00B1451B"/>
    <w:rsid w:val="00B1469B"/>
    <w:rsid w:val="00B14C67"/>
    <w:rsid w:val="00B21161"/>
    <w:rsid w:val="00B2277B"/>
    <w:rsid w:val="00B232BA"/>
    <w:rsid w:val="00B23A45"/>
    <w:rsid w:val="00B26E33"/>
    <w:rsid w:val="00B30E8C"/>
    <w:rsid w:val="00B318C9"/>
    <w:rsid w:val="00B320C9"/>
    <w:rsid w:val="00B35A3E"/>
    <w:rsid w:val="00B36570"/>
    <w:rsid w:val="00B370FF"/>
    <w:rsid w:val="00B372BD"/>
    <w:rsid w:val="00B41A87"/>
    <w:rsid w:val="00B42BD7"/>
    <w:rsid w:val="00B50337"/>
    <w:rsid w:val="00B52DCB"/>
    <w:rsid w:val="00B57BB1"/>
    <w:rsid w:val="00B57F42"/>
    <w:rsid w:val="00B63C1E"/>
    <w:rsid w:val="00B678F4"/>
    <w:rsid w:val="00B70BD9"/>
    <w:rsid w:val="00B729FA"/>
    <w:rsid w:val="00B73977"/>
    <w:rsid w:val="00B76EB3"/>
    <w:rsid w:val="00B7775A"/>
    <w:rsid w:val="00B80210"/>
    <w:rsid w:val="00B809BD"/>
    <w:rsid w:val="00B8321D"/>
    <w:rsid w:val="00B83A86"/>
    <w:rsid w:val="00B872D4"/>
    <w:rsid w:val="00B873C6"/>
    <w:rsid w:val="00B92CED"/>
    <w:rsid w:val="00B942E8"/>
    <w:rsid w:val="00B96879"/>
    <w:rsid w:val="00BA16A3"/>
    <w:rsid w:val="00BA2DC9"/>
    <w:rsid w:val="00BA575C"/>
    <w:rsid w:val="00BA6694"/>
    <w:rsid w:val="00BA72F0"/>
    <w:rsid w:val="00BB0CD4"/>
    <w:rsid w:val="00BB12EA"/>
    <w:rsid w:val="00BB3B2D"/>
    <w:rsid w:val="00BB40DA"/>
    <w:rsid w:val="00BB4BD6"/>
    <w:rsid w:val="00BB6E14"/>
    <w:rsid w:val="00BB7B3F"/>
    <w:rsid w:val="00BC012E"/>
    <w:rsid w:val="00BC2CF9"/>
    <w:rsid w:val="00BC3112"/>
    <w:rsid w:val="00BC349D"/>
    <w:rsid w:val="00BC3649"/>
    <w:rsid w:val="00BC3C14"/>
    <w:rsid w:val="00BC4A21"/>
    <w:rsid w:val="00BC51F6"/>
    <w:rsid w:val="00BD1FD1"/>
    <w:rsid w:val="00BD4412"/>
    <w:rsid w:val="00BD6F1B"/>
    <w:rsid w:val="00BE29A0"/>
    <w:rsid w:val="00BE2A6C"/>
    <w:rsid w:val="00BE2B97"/>
    <w:rsid w:val="00BE7523"/>
    <w:rsid w:val="00BF0ACE"/>
    <w:rsid w:val="00BF0AD8"/>
    <w:rsid w:val="00BF4C43"/>
    <w:rsid w:val="00BF53CD"/>
    <w:rsid w:val="00BF5A54"/>
    <w:rsid w:val="00C00EB0"/>
    <w:rsid w:val="00C02C09"/>
    <w:rsid w:val="00C04051"/>
    <w:rsid w:val="00C10967"/>
    <w:rsid w:val="00C12073"/>
    <w:rsid w:val="00C135F1"/>
    <w:rsid w:val="00C13ED5"/>
    <w:rsid w:val="00C164BD"/>
    <w:rsid w:val="00C2720A"/>
    <w:rsid w:val="00C3097F"/>
    <w:rsid w:val="00C318B6"/>
    <w:rsid w:val="00C32287"/>
    <w:rsid w:val="00C44987"/>
    <w:rsid w:val="00C45FF0"/>
    <w:rsid w:val="00C531AC"/>
    <w:rsid w:val="00C61C5A"/>
    <w:rsid w:val="00C62508"/>
    <w:rsid w:val="00C71DD4"/>
    <w:rsid w:val="00C822F4"/>
    <w:rsid w:val="00C84860"/>
    <w:rsid w:val="00C84C88"/>
    <w:rsid w:val="00C84C95"/>
    <w:rsid w:val="00C8766F"/>
    <w:rsid w:val="00C877AB"/>
    <w:rsid w:val="00C92FB1"/>
    <w:rsid w:val="00C95A96"/>
    <w:rsid w:val="00CA0475"/>
    <w:rsid w:val="00CA0D52"/>
    <w:rsid w:val="00CA0FED"/>
    <w:rsid w:val="00CA495D"/>
    <w:rsid w:val="00CA616B"/>
    <w:rsid w:val="00CB0CC9"/>
    <w:rsid w:val="00CB1CE8"/>
    <w:rsid w:val="00CC0132"/>
    <w:rsid w:val="00CC2312"/>
    <w:rsid w:val="00CC331F"/>
    <w:rsid w:val="00CD78F9"/>
    <w:rsid w:val="00CD7FFA"/>
    <w:rsid w:val="00CE0BAB"/>
    <w:rsid w:val="00CE3EDA"/>
    <w:rsid w:val="00CE5293"/>
    <w:rsid w:val="00CF0180"/>
    <w:rsid w:val="00CF5F7B"/>
    <w:rsid w:val="00D00F16"/>
    <w:rsid w:val="00D03EFB"/>
    <w:rsid w:val="00D107DB"/>
    <w:rsid w:val="00D10B85"/>
    <w:rsid w:val="00D165CD"/>
    <w:rsid w:val="00D17290"/>
    <w:rsid w:val="00D20C86"/>
    <w:rsid w:val="00D25BE7"/>
    <w:rsid w:val="00D27D77"/>
    <w:rsid w:val="00D27D98"/>
    <w:rsid w:val="00D27ED8"/>
    <w:rsid w:val="00D312F6"/>
    <w:rsid w:val="00D32049"/>
    <w:rsid w:val="00D343D0"/>
    <w:rsid w:val="00D34F32"/>
    <w:rsid w:val="00D42400"/>
    <w:rsid w:val="00D42853"/>
    <w:rsid w:val="00D436EF"/>
    <w:rsid w:val="00D43FCB"/>
    <w:rsid w:val="00D4474C"/>
    <w:rsid w:val="00D510E7"/>
    <w:rsid w:val="00D52D0E"/>
    <w:rsid w:val="00D57DE6"/>
    <w:rsid w:val="00D643A3"/>
    <w:rsid w:val="00D65382"/>
    <w:rsid w:val="00D65664"/>
    <w:rsid w:val="00D66458"/>
    <w:rsid w:val="00D67142"/>
    <w:rsid w:val="00D67DF3"/>
    <w:rsid w:val="00D75A67"/>
    <w:rsid w:val="00D77778"/>
    <w:rsid w:val="00D77E52"/>
    <w:rsid w:val="00D90673"/>
    <w:rsid w:val="00D90A30"/>
    <w:rsid w:val="00D94485"/>
    <w:rsid w:val="00D9554B"/>
    <w:rsid w:val="00DA17AF"/>
    <w:rsid w:val="00DA1D78"/>
    <w:rsid w:val="00DA222E"/>
    <w:rsid w:val="00DA5D5A"/>
    <w:rsid w:val="00DA765D"/>
    <w:rsid w:val="00DB1D5D"/>
    <w:rsid w:val="00DB1EE9"/>
    <w:rsid w:val="00DB3F79"/>
    <w:rsid w:val="00DB7290"/>
    <w:rsid w:val="00DB7B36"/>
    <w:rsid w:val="00DD1072"/>
    <w:rsid w:val="00DD3ABF"/>
    <w:rsid w:val="00DF1CB0"/>
    <w:rsid w:val="00DF2981"/>
    <w:rsid w:val="00DF3663"/>
    <w:rsid w:val="00DF68FD"/>
    <w:rsid w:val="00E00BCA"/>
    <w:rsid w:val="00E022A9"/>
    <w:rsid w:val="00E037E1"/>
    <w:rsid w:val="00E050D8"/>
    <w:rsid w:val="00E06C80"/>
    <w:rsid w:val="00E121EB"/>
    <w:rsid w:val="00E1234E"/>
    <w:rsid w:val="00E140F0"/>
    <w:rsid w:val="00E14683"/>
    <w:rsid w:val="00E23911"/>
    <w:rsid w:val="00E24A6A"/>
    <w:rsid w:val="00E315A9"/>
    <w:rsid w:val="00E339F8"/>
    <w:rsid w:val="00E43F50"/>
    <w:rsid w:val="00E44675"/>
    <w:rsid w:val="00E446B6"/>
    <w:rsid w:val="00E459E0"/>
    <w:rsid w:val="00E4626E"/>
    <w:rsid w:val="00E469BF"/>
    <w:rsid w:val="00E544EB"/>
    <w:rsid w:val="00E547B3"/>
    <w:rsid w:val="00E549DA"/>
    <w:rsid w:val="00E54D90"/>
    <w:rsid w:val="00E5639E"/>
    <w:rsid w:val="00E57E55"/>
    <w:rsid w:val="00E61D8C"/>
    <w:rsid w:val="00E63E0B"/>
    <w:rsid w:val="00E66024"/>
    <w:rsid w:val="00E67ABA"/>
    <w:rsid w:val="00E704DB"/>
    <w:rsid w:val="00E708EF"/>
    <w:rsid w:val="00E756D6"/>
    <w:rsid w:val="00E76823"/>
    <w:rsid w:val="00E80625"/>
    <w:rsid w:val="00E8124D"/>
    <w:rsid w:val="00E835D3"/>
    <w:rsid w:val="00E8411B"/>
    <w:rsid w:val="00E90993"/>
    <w:rsid w:val="00E92658"/>
    <w:rsid w:val="00E94C5A"/>
    <w:rsid w:val="00EA201C"/>
    <w:rsid w:val="00EA3EFF"/>
    <w:rsid w:val="00EA4FD2"/>
    <w:rsid w:val="00EA60D4"/>
    <w:rsid w:val="00EA7140"/>
    <w:rsid w:val="00EB1B41"/>
    <w:rsid w:val="00EB343F"/>
    <w:rsid w:val="00EB7084"/>
    <w:rsid w:val="00ED530A"/>
    <w:rsid w:val="00ED6F6C"/>
    <w:rsid w:val="00EE3995"/>
    <w:rsid w:val="00EE4B19"/>
    <w:rsid w:val="00EE5105"/>
    <w:rsid w:val="00EF1C4D"/>
    <w:rsid w:val="00EF521F"/>
    <w:rsid w:val="00F00DB8"/>
    <w:rsid w:val="00F02C91"/>
    <w:rsid w:val="00F03848"/>
    <w:rsid w:val="00F07624"/>
    <w:rsid w:val="00F15752"/>
    <w:rsid w:val="00F15D76"/>
    <w:rsid w:val="00F23FC4"/>
    <w:rsid w:val="00F2547B"/>
    <w:rsid w:val="00F265B5"/>
    <w:rsid w:val="00F26AA3"/>
    <w:rsid w:val="00F27E16"/>
    <w:rsid w:val="00F300AC"/>
    <w:rsid w:val="00F341C0"/>
    <w:rsid w:val="00F34F79"/>
    <w:rsid w:val="00F36A47"/>
    <w:rsid w:val="00F4133F"/>
    <w:rsid w:val="00F42A20"/>
    <w:rsid w:val="00F43C82"/>
    <w:rsid w:val="00F454E4"/>
    <w:rsid w:val="00F4762B"/>
    <w:rsid w:val="00F47B5F"/>
    <w:rsid w:val="00F514E9"/>
    <w:rsid w:val="00F52A77"/>
    <w:rsid w:val="00F5537B"/>
    <w:rsid w:val="00F61D9F"/>
    <w:rsid w:val="00F61DDB"/>
    <w:rsid w:val="00F630CD"/>
    <w:rsid w:val="00F630D8"/>
    <w:rsid w:val="00F64652"/>
    <w:rsid w:val="00F714F8"/>
    <w:rsid w:val="00F71F1C"/>
    <w:rsid w:val="00F747BF"/>
    <w:rsid w:val="00F74F7A"/>
    <w:rsid w:val="00F75D45"/>
    <w:rsid w:val="00F76701"/>
    <w:rsid w:val="00F77805"/>
    <w:rsid w:val="00F80132"/>
    <w:rsid w:val="00F83E2C"/>
    <w:rsid w:val="00F83F7F"/>
    <w:rsid w:val="00F84F57"/>
    <w:rsid w:val="00F8600F"/>
    <w:rsid w:val="00F909C9"/>
    <w:rsid w:val="00F946E9"/>
    <w:rsid w:val="00FA03EF"/>
    <w:rsid w:val="00FA39C0"/>
    <w:rsid w:val="00FB0705"/>
    <w:rsid w:val="00FB1527"/>
    <w:rsid w:val="00FB2172"/>
    <w:rsid w:val="00FC23CE"/>
    <w:rsid w:val="00FC40DC"/>
    <w:rsid w:val="00FD2361"/>
    <w:rsid w:val="00FD3C0E"/>
    <w:rsid w:val="00FD4FCD"/>
    <w:rsid w:val="00FD6E1D"/>
    <w:rsid w:val="00FD70CA"/>
    <w:rsid w:val="00FE308E"/>
    <w:rsid w:val="00FE3B07"/>
    <w:rsid w:val="00FE5D1F"/>
    <w:rsid w:val="00FF1F69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Naslov4">
    <w:name w:val="heading 4"/>
    <w:basedOn w:val="Normal"/>
    <w:next w:val="Normal"/>
    <w:link w:val="Naslov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qFormat/>
    <w:rsid w:val="00362F88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Naslov3Char">
    <w:name w:val="Naslov 3 Char"/>
    <w:basedOn w:val="Zadanifontodlomka"/>
    <w:link w:val="Naslov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Naslov6Char">
    <w:name w:val="Naslov 6 Char"/>
    <w:basedOn w:val="Zadanifontodlomka"/>
    <w:link w:val="Naslov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Naslov7Char">
    <w:name w:val="Naslov 7 Char"/>
    <w:basedOn w:val="Zadanifontodlomka"/>
    <w:link w:val="Naslov7"/>
    <w:rsid w:val="00362F88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qFormat/>
    <w:rsid w:val="00362F88"/>
    <w:pPr>
      <w:ind w:left="720"/>
      <w:contextualSpacing/>
    </w:pPr>
  </w:style>
  <w:style w:type="paragraph" w:styleId="Zaglavlje">
    <w:name w:val="header"/>
    <w:basedOn w:val="Normal"/>
    <w:link w:val="ZaglavljeChar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4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4E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rsid w:val="009554E4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semiHidden/>
    <w:rsid w:val="009554E4"/>
    <w:pPr>
      <w:widowControl/>
      <w:spacing w:line="360" w:lineRule="auto"/>
      <w:ind w:firstLine="720"/>
      <w:jc w:val="both"/>
    </w:pPr>
    <w:rPr>
      <w:rFonts w:eastAsia="Times New Roman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554E4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95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21">
    <w:name w:val="Srednji popis 21"/>
    <w:basedOn w:val="Obinatablica"/>
    <w:uiPriority w:val="66"/>
    <w:rsid w:val="009554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jeloteksta">
    <w:name w:val="Body Text"/>
    <w:basedOn w:val="Normal"/>
    <w:link w:val="TijelotekstaChar"/>
    <w:semiHidden/>
    <w:rsid w:val="009554E4"/>
    <w:pPr>
      <w:widowControl/>
      <w:spacing w:after="120"/>
    </w:pPr>
    <w:rPr>
      <w:rFonts w:eastAsia="Times New Roman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9554E4"/>
    <w:rPr>
      <w:rFonts w:ascii="Times New Roman" w:eastAsia="Times New Roman" w:hAnsi="Times New Roman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1F544F"/>
    <w:pPr>
      <w:widowControl/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Default">
    <w:name w:val="Default"/>
    <w:rsid w:val="00773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balonia1">
    <w:name w:val="Tekst balončića1"/>
    <w:basedOn w:val="Normal"/>
    <w:semiHidden/>
    <w:rsid w:val="00FB1527"/>
    <w:pPr>
      <w:widowControl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GB" w:eastAsia="hr-HR"/>
    </w:rPr>
  </w:style>
  <w:style w:type="table" w:customStyle="1" w:styleId="Srednjipopis210">
    <w:name w:val="Srednji popis 21"/>
    <w:basedOn w:val="Obinatablica"/>
    <w:uiPriority w:val="66"/>
    <w:rsid w:val="009F72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Heading4">
    <w:name w:val="heading 4"/>
    <w:basedOn w:val="Normal"/>
    <w:next w:val="Normal"/>
    <w:link w:val="Heading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62F8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362F8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362F88"/>
    <w:pPr>
      <w:ind w:left="720"/>
      <w:contextualSpacing/>
    </w:pPr>
  </w:style>
  <w:style w:type="paragraph" w:styleId="Header">
    <w:name w:val="header"/>
    <w:basedOn w:val="Normal"/>
    <w:link w:val="HeaderChar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9554E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9554E4"/>
    <w:pPr>
      <w:widowControl/>
      <w:spacing w:line="360" w:lineRule="auto"/>
      <w:ind w:firstLine="720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54E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5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9554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">
    <w:name w:val="Body Text"/>
    <w:basedOn w:val="Normal"/>
    <w:link w:val="BodyTextChar"/>
    <w:semiHidden/>
    <w:rsid w:val="009554E4"/>
    <w:pPr>
      <w:widowControl/>
      <w:spacing w:after="120"/>
    </w:pPr>
    <w:rPr>
      <w:rFonts w:eastAsia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554E4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F544F"/>
    <w:pPr>
      <w:widowControl/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Default">
    <w:name w:val="Default"/>
    <w:rsid w:val="00773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ije.zp@tel.net.ba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Prihodi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numFmt formatCode="#,##0" sourceLinked="0"/>
            <c:txPr>
              <a:bodyPr rot="-5400000" vert="horz"/>
              <a:lstStyle/>
              <a:p>
                <a:pPr>
                  <a:defRPr sz="800"/>
                </a:pPr>
                <a:endParaRPr lang="sr-Latn-CS"/>
              </a:p>
            </c:txPr>
            <c:showVal val="1"/>
          </c:dLbls>
          <c:cat>
            <c:strRef>
              <c:f>Sheet1!$A$2:$A$13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Sheet1!$B$2:$B$13</c:f>
              <c:numCache>
                <c:formatCode>#,##0_ ;\-#,##0\ </c:formatCode>
                <c:ptCount val="12"/>
                <c:pt idx="0">
                  <c:v>3144520.4</c:v>
                </c:pt>
                <c:pt idx="1">
                  <c:v>6371583.3700000001</c:v>
                </c:pt>
                <c:pt idx="2">
                  <c:v>9759196.2899999823</c:v>
                </c:pt>
                <c:pt idx="3">
                  <c:v>13392540.970000004</c:v>
                </c:pt>
                <c:pt idx="4">
                  <c:v>16767134.68</c:v>
                </c:pt>
                <c:pt idx="5">
                  <c:v>19538567.439999998</c:v>
                </c:pt>
                <c:pt idx="6">
                  <c:v>24454699.93</c:v>
                </c:pt>
                <c:pt idx="7">
                  <c:v>28282177.190000001</c:v>
                </c:pt>
                <c:pt idx="8">
                  <c:v>32052903.120000001</c:v>
                </c:pt>
                <c:pt idx="9">
                  <c:v>36063407.700000003</c:v>
                </c:pt>
                <c:pt idx="10">
                  <c:v>39287972.120000012</c:v>
                </c:pt>
                <c:pt idx="11">
                  <c:v>42053670.560000002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Rashodi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dLbls>
            <c:numFmt formatCode="#,##0" sourceLinked="0"/>
            <c:txPr>
              <a:bodyPr rot="-5400000" vert="horz"/>
              <a:lstStyle/>
              <a:p>
                <a:pPr>
                  <a:defRPr sz="800"/>
                </a:pPr>
                <a:endParaRPr lang="sr-Latn-CS"/>
              </a:p>
            </c:txPr>
            <c:dLblPos val="outEnd"/>
            <c:showVal val="1"/>
          </c:dLbls>
          <c:cat>
            <c:strRef>
              <c:f>Sheet1!$A$2:$A$13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Sheet1!$C$2:$C$13</c:f>
              <c:numCache>
                <c:formatCode>#,##0_ ;\-#,##0\ </c:formatCode>
                <c:ptCount val="12"/>
                <c:pt idx="0">
                  <c:v>2485469.3199999956</c:v>
                </c:pt>
                <c:pt idx="1">
                  <c:v>5331079.1099999994</c:v>
                </c:pt>
                <c:pt idx="2">
                  <c:v>8420397.8499999829</c:v>
                </c:pt>
                <c:pt idx="3">
                  <c:v>11468083.5</c:v>
                </c:pt>
                <c:pt idx="4">
                  <c:v>14256272.220000001</c:v>
                </c:pt>
                <c:pt idx="5">
                  <c:v>17517547.219999999</c:v>
                </c:pt>
                <c:pt idx="6">
                  <c:v>21300606.52</c:v>
                </c:pt>
                <c:pt idx="7">
                  <c:v>24253467.600000001</c:v>
                </c:pt>
                <c:pt idx="8">
                  <c:v>27417981.949999996</c:v>
                </c:pt>
                <c:pt idx="9">
                  <c:v>30531534.699999999</c:v>
                </c:pt>
                <c:pt idx="10">
                  <c:v>33771792.82</c:v>
                </c:pt>
                <c:pt idx="11">
                  <c:v>41068592.309999995</c:v>
                </c:pt>
              </c:numCache>
            </c:numRef>
          </c:val>
        </c:ser>
        <c:axId val="135350528"/>
        <c:axId val="138294016"/>
      </c:barChart>
      <c:catAx>
        <c:axId val="135350528"/>
        <c:scaling>
          <c:orientation val="minMax"/>
        </c:scaling>
        <c:axPos val="b"/>
        <c:tickLblPos val="nextTo"/>
        <c:crossAx val="138294016"/>
        <c:crosses val="autoZero"/>
        <c:auto val="1"/>
        <c:lblAlgn val="ctr"/>
        <c:lblOffset val="100"/>
      </c:catAx>
      <c:valAx>
        <c:axId val="138294016"/>
        <c:scaling>
          <c:orientation val="minMax"/>
        </c:scaling>
        <c:axPos val="l"/>
        <c:majorGridlines/>
        <c:numFmt formatCode="#,##0" sourceLinked="0"/>
        <c:tickLblPos val="nextTo"/>
        <c:crossAx val="135350528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6224286495736792E-2"/>
          <c:y val="0.16678358387019904"/>
          <c:w val="0.83348991031953101"/>
          <c:h val="0.6696158434741189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explosion val="25"/>
          <c:dPt>
            <c:idx val="1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5.9341172219629326E-2"/>
                  <c:y val="-7.3208661417322837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34307573408008518"/>
                  <c:y val="-2.2915175375805414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3227568590255087"/>
                  <c:y val="1.0534478644714988E-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4.0322588739505102E-2"/>
                  <c:y val="-0.10520758768790264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600">
                    <a:latin typeface="Calibri" pitchFamily="34" charset="0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Sheet1!$A$2:$A$3</c:f>
              <c:strCache>
                <c:ptCount val="2"/>
                <c:pt idx="0">
                  <c:v>Kap.grant.od inozemnih vlada</c:v>
                </c:pt>
                <c:pt idx="1">
                  <c:v>Kap.grant.od ostalih razina vlasti i fondova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3.3799999999999997E-2</c:v>
                </c:pt>
                <c:pt idx="1">
                  <c:v>0.96619999999999995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Rashodi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numFmt formatCode="#,##0" sourceLinked="0"/>
            <c:txPr>
              <a:bodyPr rot="-5400000" vert="horz"/>
              <a:lstStyle/>
              <a:p>
                <a:pPr>
                  <a:defRPr/>
                </a:pPr>
                <a:endParaRPr lang="sr-Latn-CS"/>
              </a:p>
            </c:txPr>
            <c:showVal val="1"/>
          </c:dLbls>
          <c:cat>
            <c:strRef>
              <c:f>Sheet1!$A$2:$A$13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Sheet1!$B$2:$B$13</c:f>
              <c:numCache>
                <c:formatCode>#,##0</c:formatCode>
                <c:ptCount val="12"/>
                <c:pt idx="0">
                  <c:v>2279109</c:v>
                </c:pt>
                <c:pt idx="1">
                  <c:v>2917102</c:v>
                </c:pt>
                <c:pt idx="2">
                  <c:v>2796316</c:v>
                </c:pt>
                <c:pt idx="3">
                  <c:v>3093080</c:v>
                </c:pt>
                <c:pt idx="4">
                  <c:v>2539891</c:v>
                </c:pt>
                <c:pt idx="5">
                  <c:v>3143298</c:v>
                </c:pt>
                <c:pt idx="6">
                  <c:v>3076613</c:v>
                </c:pt>
                <c:pt idx="7">
                  <c:v>3372930</c:v>
                </c:pt>
                <c:pt idx="8">
                  <c:v>4568524</c:v>
                </c:pt>
                <c:pt idx="9">
                  <c:v>3490495</c:v>
                </c:pt>
                <c:pt idx="10">
                  <c:v>3339293</c:v>
                </c:pt>
                <c:pt idx="11">
                  <c:v>6571595</c:v>
                </c:pt>
              </c:numCache>
            </c:numRef>
          </c:val>
        </c:ser>
        <c:axId val="135277952"/>
        <c:axId val="91944064"/>
      </c:barChart>
      <c:catAx>
        <c:axId val="135277952"/>
        <c:scaling>
          <c:orientation val="minMax"/>
        </c:scaling>
        <c:axPos val="b"/>
        <c:tickLblPos val="nextTo"/>
        <c:crossAx val="91944064"/>
        <c:crosses val="autoZero"/>
        <c:auto val="1"/>
        <c:lblAlgn val="ctr"/>
        <c:lblOffset val="100"/>
      </c:catAx>
      <c:valAx>
        <c:axId val="91944064"/>
        <c:scaling>
          <c:orientation val="minMax"/>
        </c:scaling>
        <c:axPos val="l"/>
        <c:majorGridlines/>
        <c:numFmt formatCode="#,##0" sourceLinked="0"/>
        <c:tickLblPos val="nextTo"/>
        <c:crossAx val="135277952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tx1">
          <a:lumMod val="50000"/>
          <a:lumOff val="50000"/>
        </a:scheme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713505569868283"/>
          <c:w val="1"/>
          <c:h val="0.5119044595232047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4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4.4932370293427122E-2"/>
                  <c:y val="-0.1580162135347405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1.5159768589135347E-3"/>
                  <c:y val="0.11992148071162667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7.9814768123565194E-2"/>
                  <c:y val="2.5466622047251228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6.1552547592043906E-2"/>
                  <c:y val="-0.10990931920022418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6.3602650097169131E-2"/>
                  <c:y val="-0.1763210566457989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0.19291883322081299"/>
                  <c:y val="-0.19455833580463244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0.14344559984183342"/>
                  <c:y val="-6.8194246816105433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Sheet1!$A$2:$A$9</c:f>
              <c:strCache>
                <c:ptCount val="7"/>
                <c:pt idx="0">
                  <c:v>Plaće i naknade troškova zaposlenih</c:v>
                </c:pt>
                <c:pt idx="1">
                  <c:v>Doprinosi poslodavca i ostali doprinosi</c:v>
                </c:pt>
                <c:pt idx="2">
                  <c:v>Izdaci za materijal, sitan inventar i usluge</c:v>
                </c:pt>
                <c:pt idx="3">
                  <c:v>Tekući grantovi i drugi tekući rashodi</c:v>
                </c:pt>
                <c:pt idx="4">
                  <c:v>Tekuće pričuve</c:v>
                </c:pt>
                <c:pt idx="5">
                  <c:v>Kapitalni grantovi</c:v>
                </c:pt>
                <c:pt idx="6">
                  <c:v>Izdaci za kamate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7"/>
                <c:pt idx="0">
                  <c:v>0.5343</c:v>
                </c:pt>
                <c:pt idx="1">
                  <c:v>5.2600000000000001E-2</c:v>
                </c:pt>
                <c:pt idx="2">
                  <c:v>0.10020000000000009</c:v>
                </c:pt>
                <c:pt idx="3">
                  <c:v>0.28590000000000032</c:v>
                </c:pt>
                <c:pt idx="4">
                  <c:v>1.5500000000000017E-2</c:v>
                </c:pt>
                <c:pt idx="5">
                  <c:v>1.0200000000000001E-2</c:v>
                </c:pt>
                <c:pt idx="6">
                  <c:v>1.2999999999999984E-3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9163896179645266"/>
          <c:y val="0.15590256458117877"/>
          <c:w val="0.46528579760863231"/>
          <c:h val="0.7033145856767903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solidDmnd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95000"/>
                </a:schemeClr>
              </a:solidFill>
            </c:spPr>
          </c:dPt>
          <c:dPt>
            <c:idx val="3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6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spPr>
              <a:pattFill prst="dash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3.8572743511227851E-2"/>
                  <c:y val="-2.8805439740674611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2.5416879299868949E-2"/>
                  <c:y val="-6.5386060658265424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3754590951817138E-2"/>
                  <c:y val="-2.6474751300811391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2.7970800524935297E-2"/>
                  <c:y val="1.7961614173228346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5.0699591946920782E-3"/>
                  <c:y val="6.3447773640575467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4.5535505978419363E-2"/>
                  <c:y val="3.9614587671939795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4.1224117818605965E-2"/>
                  <c:y val="1.0944421305210525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7.6187846310877785E-2"/>
                  <c:y val="-3.4413057742782152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1.6098579657498134E-2"/>
                  <c:y val="-5.8568014766038332E-2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5.6576534703995332E-2"/>
                  <c:y val="-3.829664093141386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Sheet1!$A$2:$A$10</c:f>
              <c:strCache>
                <c:ptCount val="9"/>
                <c:pt idx="0">
                  <c:v>Izdaci za energiju</c:v>
                </c:pt>
                <c:pt idx="1">
                  <c:v>Putni troškovi</c:v>
                </c:pt>
                <c:pt idx="2">
                  <c:v>Izdaci za komunikaciju i komunalne usluge</c:v>
                </c:pt>
                <c:pt idx="3">
                  <c:v>Nabavka materijala i sitnog inventara</c:v>
                </c:pt>
                <c:pt idx="4">
                  <c:v>Izdaci za usluge prijevoza i goriva</c:v>
                </c:pt>
                <c:pt idx="5">
                  <c:v>Izdaci za tekuće održavanje</c:v>
                </c:pt>
                <c:pt idx="6">
                  <c:v>Tekuće održavanje cesta</c:v>
                </c:pt>
                <c:pt idx="7">
                  <c:v>Ugovorene i druge posebne usluge-SVE</c:v>
                </c:pt>
                <c:pt idx="8">
                  <c:v>Svi ostali izdaci za materijal, sit.inventar i usluge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0.19739999999999999</c:v>
                </c:pt>
                <c:pt idx="1">
                  <c:v>3.1700000000000006E-2</c:v>
                </c:pt>
                <c:pt idx="2">
                  <c:v>9.3400000000000025E-2</c:v>
                </c:pt>
                <c:pt idx="3">
                  <c:v>0.1053</c:v>
                </c:pt>
                <c:pt idx="4">
                  <c:v>5.440000000000008E-2</c:v>
                </c:pt>
                <c:pt idx="5">
                  <c:v>7.6200000000000004E-2</c:v>
                </c:pt>
                <c:pt idx="6">
                  <c:v>4.5699999999999998E-2</c:v>
                </c:pt>
                <c:pt idx="7">
                  <c:v>0.32500000000000046</c:v>
                </c:pt>
                <c:pt idx="8">
                  <c:v>7.0900000000000019E-2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846945173519978"/>
          <c:y val="0.20446186846830003"/>
          <c:w val="0.43056357538642076"/>
          <c:h val="0.6504300423985640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pattFill prst="wdDnDiag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</c:spPr>
          </c:dPt>
          <c:dPt>
            <c:idx val="4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5"/>
            <c:spPr>
              <a:solidFill>
                <a:schemeClr val="bg1">
                  <a:lumMod val="85000"/>
                </a:schemeClr>
              </a:solidFill>
            </c:spPr>
          </c:dPt>
          <c:dPt>
            <c:idx val="6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7"/>
            <c:spPr>
              <a:pattFill prst="dash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6.8665244969378827E-2"/>
                  <c:y val="-1.6784958297663192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18005358705161864"/>
                  <c:y val="-2.345219746218199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5.9498942840479019E-2"/>
                  <c:y val="5.5632626357507136E-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1.1692548848060823E-2"/>
                  <c:y val="-0.11975489419265845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0.15361074657334525"/>
                  <c:y val="-0.10962610873504847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2.8324948964712746E-2"/>
                  <c:y val="-5.0596120766356292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0.11924777631962671"/>
                  <c:y val="-3.24455780295397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+mn-lt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7"/>
              <c:layout>
                <c:manualLayout>
                  <c:x val="-6.9243401866434004E-2"/>
                  <c:y val="-0.10961371445164753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5.0115923009623933E-2"/>
                  <c:y val="-0.22690391685914693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-2.3862459900845727E-2"/>
                  <c:y val="-0.37305730673992282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0.12245133420822402"/>
                  <c:y val="-0.10827690245610649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-0.10448235637212015"/>
                  <c:y val="-0.27319612271402927"/>
                </c:manualLayout>
              </c:layout>
              <c:showVal val="1"/>
              <c:showCatName val="1"/>
            </c:dLbl>
            <c:dLbl>
              <c:idx val="12"/>
              <c:layout>
                <c:manualLayout>
                  <c:x val="5.0596201516477132E-2"/>
                  <c:y val="-0.23434624138929819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0.16074329250510874"/>
                  <c:y val="-0.15073042168008091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Tekući grantovi drugim razinama vlasti i fondovima</c:v>
                </c:pt>
                <c:pt idx="1">
                  <c:v>Tekući grantovi pojedincima</c:v>
                </c:pt>
                <c:pt idx="2">
                  <c:v>Tekući grantovi neprofitnim organizacijama</c:v>
                </c:pt>
                <c:pt idx="3">
                  <c:v>Drugi tekući rashodi</c:v>
                </c:pt>
                <c:pt idx="4">
                  <c:v>Subvencije privatnim poduzećima i poduzetnicima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0.23350000000000001</c:v>
                </c:pt>
                <c:pt idx="1">
                  <c:v>0.44350000000000001</c:v>
                </c:pt>
                <c:pt idx="2">
                  <c:v>5.9100000000000014E-2</c:v>
                </c:pt>
                <c:pt idx="3">
                  <c:v>9.5000000000000067E-3</c:v>
                </c:pt>
                <c:pt idx="4">
                  <c:v>0.25440000000000002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Proračunski prihodi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62768824156740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42048235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Rashodi i izdaci</c:v>
                </c:pt>
              </c:strCache>
            </c:strRef>
          </c:tx>
          <c:dLbls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39369411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Tekući suficit/deficit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5.0925925925925923E-2"/>
                  <c:y val="9.4866065175978499E-3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2678824</c:v>
                </c:pt>
              </c:numCache>
            </c:numRef>
          </c:val>
        </c:ser>
        <c:axId val="138421376"/>
        <c:axId val="138422912"/>
      </c:barChart>
      <c:catAx>
        <c:axId val="138421376"/>
        <c:scaling>
          <c:orientation val="minMax"/>
        </c:scaling>
        <c:delete val="1"/>
        <c:axPos val="b"/>
        <c:tickLblPos val="none"/>
        <c:crossAx val="138422912"/>
        <c:crosses val="autoZero"/>
        <c:auto val="1"/>
        <c:lblAlgn val="ctr"/>
        <c:lblOffset val="100"/>
      </c:catAx>
      <c:valAx>
        <c:axId val="138422912"/>
        <c:scaling>
          <c:orientation val="minMax"/>
        </c:scaling>
        <c:axPos val="l"/>
        <c:majorGridlines/>
        <c:numFmt formatCode="#,##0" sourceLinked="1"/>
        <c:tickLblPos val="nextTo"/>
        <c:crossAx val="1384213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3145377661125688"/>
          <c:y val="0.11448496862799958"/>
          <c:w val="0.52084135316420288"/>
          <c:h val="0.7782404755557211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>
                <c:manualLayout>
                  <c:x val="0.14796464488968591"/>
                  <c:y val="-0.12414454007202746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5.1765041240102422E-2"/>
                  <c:y val="5.797707250678266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8.8032121300276267E-2"/>
                  <c:y val="-0.13002082713478053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8.9560549722953863E-3"/>
                  <c:y val="8.1358732171044668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3.8688393117527506E-3"/>
                  <c:y val="-7.6819325874925792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3.2608358850977091E-2"/>
                  <c:y val="5.7686112328572126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1.6098534558180229E-2"/>
                  <c:y val="3.5340708025378685E-3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5.6576534703995332E-2"/>
                  <c:y val="-3.829664093141386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Nabavka građevina</c:v>
                </c:pt>
                <c:pt idx="1">
                  <c:v>Nabavka opreme</c:v>
                </c:pt>
                <c:pt idx="2">
                  <c:v>Rekonstrukcija i investicijsko održavanje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0.1111</c:v>
                </c:pt>
                <c:pt idx="1">
                  <c:v>0.38890000000000041</c:v>
                </c:pt>
                <c:pt idx="2">
                  <c:v>0.5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Primici od prodaje nefin.imovine</c:v>
                </c:pt>
              </c:strCache>
            </c:strRef>
          </c:tx>
          <c:dLbls>
            <c:dLbl>
              <c:idx val="0"/>
              <c:layout>
                <c:manualLayout>
                  <c:x val="-2.7464144034177601E-2"/>
                  <c:y val="-2.1844664369059009E-2"/>
                </c:manualLayout>
              </c:layout>
              <c:showVal val="1"/>
              <c:showSerName val="1"/>
            </c:dLbl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5436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Izdaci za nabavku nefin.imovine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7137097227613488E-2"/>
                </c:manualLayout>
              </c:layout>
              <c:showVal val="1"/>
              <c:showSerName val="1"/>
            </c:dLbl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1108166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Neto nabavka nefin.imovine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6202018842853677"/>
                  <c:y val="3.8613454363858712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N</a:t>
                    </a:r>
                    <a:r>
                      <a:rPr lang="en-US"/>
                      <a:t>eto nabavka nefin.imovine; </a:t>
                    </a:r>
                    <a:r>
                      <a:rPr lang="hr-HR"/>
                      <a:t>     </a:t>
                    </a:r>
                    <a:r>
                      <a:rPr lang="en-US"/>
                      <a:t>-</a:t>
                    </a:r>
                    <a:r>
                      <a:rPr lang="hr-HR"/>
                      <a:t>1.102.730</a:t>
                    </a:r>
                    <a:endParaRPr lang="en-US"/>
                  </a:p>
                </c:rich>
              </c:tx>
              <c:showVal val="1"/>
              <c:showSerName val="1"/>
            </c:dLbl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-1102730</c:v>
                </c:pt>
              </c:numCache>
            </c:numRef>
          </c:val>
        </c:ser>
        <c:axId val="138493312"/>
        <c:axId val="140022912"/>
      </c:barChart>
      <c:catAx>
        <c:axId val="138493312"/>
        <c:scaling>
          <c:orientation val="minMax"/>
        </c:scaling>
        <c:delete val="1"/>
        <c:axPos val="b"/>
        <c:tickLblPos val="none"/>
        <c:crossAx val="140022912"/>
        <c:crosses val="autoZero"/>
        <c:auto val="1"/>
        <c:lblAlgn val="ctr"/>
        <c:lblOffset val="100"/>
      </c:catAx>
      <c:valAx>
        <c:axId val="140022912"/>
        <c:scaling>
          <c:orientation val="minMax"/>
        </c:scaling>
        <c:axPos val="l"/>
        <c:majorGridlines/>
        <c:numFmt formatCode="#,##0" sourceLinked="1"/>
        <c:tickLblPos val="nextTo"/>
        <c:crossAx val="1384933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Tekući suficit/deficit</c:v>
                </c:pt>
              </c:strCache>
            </c:strRef>
          </c:tx>
          <c:dLbls>
            <c:dLbl>
              <c:idx val="0"/>
              <c:layout>
                <c:manualLayout>
                  <c:x val="2.6169951373345474E-3"/>
                  <c:y val="0.19593959900501406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2678824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Neto nabavka nefin.imovine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87796724643091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nabavka nefin.imovine; </a:t>
                    </a:r>
                    <a:r>
                      <a:rPr lang="hr-HR"/>
                      <a:t>     </a:t>
                    </a:r>
                    <a:r>
                      <a:rPr lang="en-US"/>
                      <a:t>-</a:t>
                    </a:r>
                    <a:r>
                      <a:rPr lang="hr-HR"/>
                      <a:t>1.102.730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-1102730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Ukupan suficit/deficit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4854847437426136"/>
                  <c:y val="1.9376897956983261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1576094</c:v>
                </c:pt>
              </c:numCache>
            </c:numRef>
          </c:val>
        </c:ser>
        <c:axId val="140168192"/>
        <c:axId val="140202752"/>
      </c:barChart>
      <c:catAx>
        <c:axId val="140168192"/>
        <c:scaling>
          <c:orientation val="minMax"/>
        </c:scaling>
        <c:delete val="1"/>
        <c:axPos val="b"/>
        <c:tickLblPos val="none"/>
        <c:crossAx val="140202752"/>
        <c:crosses val="autoZero"/>
        <c:auto val="1"/>
        <c:lblAlgn val="ctr"/>
        <c:lblOffset val="100"/>
      </c:catAx>
      <c:valAx>
        <c:axId val="140202752"/>
        <c:scaling>
          <c:orientation val="minMax"/>
        </c:scaling>
        <c:axPos val="l"/>
        <c:majorGridlines/>
        <c:numFmt formatCode="#,##0" sourceLinked="1"/>
        <c:tickLblPos val="nextTo"/>
        <c:crossAx val="1401681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Primici od fin.imovine i zaduživanja</c:v>
                </c:pt>
              </c:strCache>
            </c:strRef>
          </c:tx>
          <c:dLbls>
            <c:dLbl>
              <c:idx val="0"/>
              <c:layout>
                <c:manualLayout>
                  <c:x val="-1.5106635599599615E-2"/>
                  <c:y val="-5.7123657425377904E-3"/>
                </c:manualLayout>
              </c:layout>
              <c:showVal val="1"/>
              <c:showSerName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sr-Latn-CS"/>
              </a:p>
            </c:txPr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Izdaci za nabavku fin.imovine i otplatu dugova</c:v>
                </c:pt>
              </c:strCache>
            </c:strRef>
          </c:tx>
          <c:dLbls>
            <c:dLbl>
              <c:idx val="0"/>
              <c:layout>
                <c:manualLayout>
                  <c:x val="-2.5177725999332677E-3"/>
                  <c:y val="0.17137097227613485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591016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Neto financiranje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4935944621653174"/>
                  <c:y val="0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-591016</c:v>
                </c:pt>
              </c:numCache>
            </c:numRef>
          </c:val>
        </c:ser>
        <c:axId val="140122368"/>
        <c:axId val="140140544"/>
      </c:barChart>
      <c:catAx>
        <c:axId val="140122368"/>
        <c:scaling>
          <c:orientation val="minMax"/>
        </c:scaling>
        <c:delete val="1"/>
        <c:axPos val="b"/>
        <c:tickLblPos val="none"/>
        <c:crossAx val="140140544"/>
        <c:crosses val="autoZero"/>
        <c:auto val="1"/>
        <c:lblAlgn val="ctr"/>
        <c:lblOffset val="100"/>
      </c:catAx>
      <c:valAx>
        <c:axId val="140140544"/>
        <c:scaling>
          <c:orientation val="minMax"/>
        </c:scaling>
        <c:axPos val="l"/>
        <c:majorGridlines/>
        <c:numFmt formatCode="#,##0" sourceLinked="1"/>
        <c:tickLblPos val="nextTo"/>
        <c:crossAx val="1401223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2877908939204541"/>
          <c:y val="0.15039238270346175"/>
          <c:w val="0.62193140325485008"/>
          <c:h val="0.8267040472905924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-0.20011741952528644"/>
                  <c:y val="-0.28468970482727007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5.2664689351968524E-2"/>
                  <c:y val="4.329436738860566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1.2293033683289588E-2"/>
                  <c:y val="-5.5493433826938041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4697876948762739"/>
                  <c:y val="-2.3356193379053425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Porezni prihodi</c:v>
                </c:pt>
                <c:pt idx="1">
                  <c:v>Neporezni prihodi</c:v>
                </c:pt>
                <c:pt idx="2">
                  <c:v>Tekući grantovi</c:v>
                </c:pt>
                <c:pt idx="3">
                  <c:v>Kapitalni grantovi</c:v>
                </c:pt>
                <c:pt idx="4">
                  <c:v>Prihodi po osnovi zaostalih obveza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0.90610000000000002</c:v>
                </c:pt>
                <c:pt idx="1">
                  <c:v>6.720000000000001E-2</c:v>
                </c:pt>
                <c:pt idx="2">
                  <c:v>2.3E-2</c:v>
                </c:pt>
                <c:pt idx="3">
                  <c:v>3.600000000000006E-3</c:v>
                </c:pt>
                <c:pt idx="4">
                  <c:v>1.0000000000000022E-4</c:v>
                </c:pt>
              </c:numCache>
            </c:numRef>
          </c:val>
        </c:ser>
      </c:pie3DChart>
    </c:plotArea>
    <c:plotVisOnly val="1"/>
    <c:dispBlanksAs val="zero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Ukupan suficit/deficit</c:v>
                </c:pt>
              </c:strCache>
            </c:strRef>
          </c:tx>
          <c:dLbls>
            <c:dLbl>
              <c:idx val="0"/>
              <c:layout>
                <c:manualLayout>
                  <c:x val="-1.4833043018666343E-4"/>
                  <c:y val="0.25645326942827801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sr-Latn-CS"/>
              </a:p>
            </c:txPr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1576094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Neto financiranje</c:v>
                </c:pt>
              </c:strCache>
            </c:strRef>
          </c:tx>
          <c:dLbls>
            <c:dLbl>
              <c:idx val="0"/>
              <c:layout>
                <c:manualLayout>
                  <c:x val="4.6997824297585322E-3"/>
                  <c:y val="0.3398502225265320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-591016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Ukupan financijski rezultat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2.8870443883074755E-2"/>
                  <c:y val="1.0869993153029771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985078</c:v>
                </c:pt>
              </c:numCache>
            </c:numRef>
          </c:val>
        </c:ser>
        <c:axId val="140683136"/>
        <c:axId val="140684672"/>
      </c:barChart>
      <c:catAx>
        <c:axId val="140683136"/>
        <c:scaling>
          <c:orientation val="minMax"/>
        </c:scaling>
        <c:delete val="1"/>
        <c:axPos val="b"/>
        <c:tickLblPos val="none"/>
        <c:crossAx val="140684672"/>
        <c:crosses val="autoZero"/>
        <c:auto val="1"/>
        <c:lblAlgn val="ctr"/>
        <c:lblOffset val="100"/>
      </c:catAx>
      <c:valAx>
        <c:axId val="140684672"/>
        <c:scaling>
          <c:orientation val="minMax"/>
        </c:scaling>
        <c:axPos val="l"/>
        <c:majorGridlines/>
        <c:numFmt formatCode="#,##0" sourceLinked="1"/>
        <c:tickLblPos val="nextTo"/>
        <c:crossAx val="1406831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autoTitleDeleted val="1"/>
    <c:view3D>
      <c:rotX val="30"/>
      <c:rotY val="170"/>
      <c:perspective val="30"/>
    </c:view3D>
    <c:plotArea>
      <c:layout>
        <c:manualLayout>
          <c:layoutTarget val="inner"/>
          <c:xMode val="edge"/>
          <c:yMode val="edge"/>
          <c:x val="0.2324365209474884"/>
          <c:y val="4.0756407155591749E-2"/>
          <c:w val="0.56130115636658384"/>
          <c:h val="0.8575571803524464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4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1"/>
              <c:layout>
                <c:manualLayout>
                  <c:x val="-8.9730063115478792E-2"/>
                  <c:y val="-3.279727745896172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3815279291132995"/>
                  <c:y val="0.12106899773121588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4.7092082239721569E-2"/>
                  <c:y val="-4.2886781120489534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0.12577792359288423"/>
                  <c:y val="0.11586451594374456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7.1855861767279065E-3"/>
                  <c:y val="3.3032214642746992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Porez na dobit pojedinaca i poduzeća</c:v>
                </c:pt>
                <c:pt idx="1">
                  <c:v>Porez na dohodak</c:v>
                </c:pt>
                <c:pt idx="2">
                  <c:v>Prihodi od neizravnih poreza</c:v>
                </c:pt>
                <c:pt idx="3">
                  <c:v>Svi ostali porezni prihodi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8.5100000000000023E-2</c:v>
                </c:pt>
                <c:pt idx="1">
                  <c:v>8.1600000000000006E-2</c:v>
                </c:pt>
                <c:pt idx="2">
                  <c:v>0.82500000000000062</c:v>
                </c:pt>
                <c:pt idx="3">
                  <c:v>8.3000000000000157E-3</c:v>
                </c:pt>
              </c:numCache>
            </c:numRef>
          </c:val>
        </c:ser>
      </c:pie3DChart>
    </c:plotArea>
    <c:plotVisOnly val="1"/>
    <c:dispBlanksAs val="zero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Sheet1!$B$2:$B$13</c:f>
              <c:numCache>
                <c:formatCode>#,##0.00</c:formatCode>
                <c:ptCount val="12"/>
                <c:pt idx="0">
                  <c:v>2275189.3099999987</c:v>
                </c:pt>
                <c:pt idx="1">
                  <c:v>2459129.2200000002</c:v>
                </c:pt>
                <c:pt idx="2">
                  <c:v>1816266.1</c:v>
                </c:pt>
                <c:pt idx="3" formatCode="General">
                  <c:v>2107629.9699999997</c:v>
                </c:pt>
                <c:pt idx="4" formatCode="General">
                  <c:v>2420630.9699999997</c:v>
                </c:pt>
                <c:pt idx="5" formatCode="General">
                  <c:v>2174263.46</c:v>
                </c:pt>
                <c:pt idx="6">
                  <c:v>2862830.3499999987</c:v>
                </c:pt>
                <c:pt idx="7">
                  <c:v>2895730.66</c:v>
                </c:pt>
                <c:pt idx="8">
                  <c:v>2567470.4499999997</c:v>
                </c:pt>
                <c:pt idx="9">
                  <c:v>2937276.12</c:v>
                </c:pt>
                <c:pt idx="10">
                  <c:v>2300251.58</c:v>
                </c:pt>
                <c:pt idx="11">
                  <c:v>2175808.9899999998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Sheet1!$C$2:$C$13</c:f>
              <c:numCache>
                <c:formatCode>#,##0.00</c:formatCode>
                <c:ptCount val="12"/>
                <c:pt idx="0">
                  <c:v>2403212.6800000002</c:v>
                </c:pt>
                <c:pt idx="1">
                  <c:v>2233435.4299999997</c:v>
                </c:pt>
                <c:pt idx="2">
                  <c:v>2186035.3099999987</c:v>
                </c:pt>
                <c:pt idx="3">
                  <c:v>2667539.2799999998</c:v>
                </c:pt>
                <c:pt idx="4">
                  <c:v>2502923.2400000002</c:v>
                </c:pt>
                <c:pt idx="5">
                  <c:v>2008041.97</c:v>
                </c:pt>
                <c:pt idx="6">
                  <c:v>3237134.34</c:v>
                </c:pt>
                <c:pt idx="7">
                  <c:v>2997510.7800000012</c:v>
                </c:pt>
                <c:pt idx="8">
                  <c:v>2743736.24</c:v>
                </c:pt>
                <c:pt idx="9">
                  <c:v>2855148.14</c:v>
                </c:pt>
                <c:pt idx="10">
                  <c:v>2419181.44</c:v>
                </c:pt>
                <c:pt idx="11">
                  <c:v>2797615.19</c:v>
                </c:pt>
              </c:numCache>
            </c:numRef>
          </c:val>
        </c:ser>
        <c:dropLines/>
        <c:marker val="1"/>
        <c:axId val="91929984"/>
        <c:axId val="91931776"/>
      </c:lineChart>
      <c:catAx>
        <c:axId val="91929984"/>
        <c:scaling>
          <c:orientation val="minMax"/>
        </c:scaling>
        <c:axPos val="b"/>
        <c:tickLblPos val="nextTo"/>
        <c:crossAx val="91931776"/>
        <c:crosses val="autoZero"/>
        <c:auto val="1"/>
        <c:lblAlgn val="ctr"/>
        <c:lblOffset val="100"/>
      </c:catAx>
      <c:valAx>
        <c:axId val="9193177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sr-Latn-CS"/>
          </a:p>
        </c:txPr>
        <c:crossAx val="91929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8.9177270448996732E-2"/>
          <c:w val="0.99931167544454291"/>
          <c:h val="0.525808631045233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tx1"/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1"/>
              <c:layout>
                <c:manualLayout>
                  <c:x val="-0.28921599754531391"/>
                  <c:y val="7.4405384078298914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8039375872718647E-3"/>
                  <c:y val="-9.1446847811040167E-3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Prihodi od poduzetničkih aktivnosti i imovine i prihodi od pozitivnih tečajnih razlika</c:v>
                </c:pt>
                <c:pt idx="1">
                  <c:v>Naknade i pristojbe i prihodi od pružanja javnih usluga</c:v>
                </c:pt>
                <c:pt idx="2">
                  <c:v>Novčane kazne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3.3300000000000003E-2</c:v>
                </c:pt>
                <c:pt idx="1">
                  <c:v>0.74430000000000063</c:v>
                </c:pt>
                <c:pt idx="2">
                  <c:v>0.22239999999999999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14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1"/>
              <c:layout>
                <c:manualLayout>
                  <c:x val="3.8318095238436788E-2"/>
                  <c:y val="-2.2317992919809819E-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1.4705758398378249E-3"/>
                  <c:y val="7.7222738037903513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5.5870583587261727E-2"/>
                  <c:y val="-9.3799619675582507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Administrativne pristojbe</c:v>
                </c:pt>
                <c:pt idx="1">
                  <c:v>Sudske pristojbe</c:v>
                </c:pt>
                <c:pt idx="2">
                  <c:v>Ostale proračunske naknade</c:v>
                </c:pt>
                <c:pt idx="3">
                  <c:v>Naknade i pristojbe po Fed.zakonima i dr.propisima</c:v>
                </c:pt>
                <c:pt idx="4">
                  <c:v>Prihodi od pružanja javnih usluga</c:v>
                </c:pt>
                <c:pt idx="5">
                  <c:v>Neplanirane uplate - prihodi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5.2800000000000034E-2</c:v>
                </c:pt>
                <c:pt idx="1">
                  <c:v>0.18970000000000031</c:v>
                </c:pt>
                <c:pt idx="2">
                  <c:v>0.15500000000000028</c:v>
                </c:pt>
                <c:pt idx="3">
                  <c:v>0.39550000000000063</c:v>
                </c:pt>
                <c:pt idx="4">
                  <c:v>0.18910000000000021</c:v>
                </c:pt>
                <c:pt idx="5">
                  <c:v>1.7899999999999999E-2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9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14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9877308066083579"/>
                  <c:y val="-5.1380088008800881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6.0782042975920533E-2"/>
                  <c:y val="0.22143509350935195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0.30823750134974887"/>
                  <c:y val="3.4928492849284926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5.5870583587261727E-2"/>
                  <c:y val="-9.3799619675582507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Županijske naknade</c:v>
                </c:pt>
                <c:pt idx="1">
                  <c:v>Naknade za korištenje šuma</c:v>
                </c:pt>
                <c:pt idx="2">
                  <c:v>Nakn.za korištenje, zaštitu i unapređenje šuma utvrđene žup.propisima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0.4496</c:v>
                </c:pt>
                <c:pt idx="1">
                  <c:v>7.5000000000000119E-3</c:v>
                </c:pt>
                <c:pt idx="2">
                  <c:v>0.54290000000000005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Y val="10"/>
      <c:depthPercent val="250"/>
      <c:perspective val="0"/>
    </c:view3D>
    <c:plotArea>
      <c:layout>
        <c:manualLayout>
          <c:layoutTarget val="inner"/>
          <c:xMode val="edge"/>
          <c:yMode val="edge"/>
          <c:x val="6.7486481739252133E-2"/>
          <c:y val="0.22250943484135627"/>
          <c:w val="0.84585979996223126"/>
          <c:h val="0.6278965923751214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8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explosion val="24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20467201166180757"/>
                  <c:y val="-1.39889988998899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Nakn</a:t>
                    </a:r>
                    <a:r>
                      <a:rPr lang="hr-HR"/>
                      <a:t>.</a:t>
                    </a:r>
                    <a:r>
                      <a:rPr lang="en-US"/>
                      <a:t>i prist</a:t>
                    </a:r>
                    <a:r>
                      <a:rPr lang="hr-HR"/>
                      <a:t>.</a:t>
                    </a:r>
                    <a:r>
                      <a:rPr lang="en-US"/>
                      <a:t>za vet.i san</a:t>
                    </a:r>
                    <a:r>
                      <a:rPr lang="hr-HR"/>
                      <a:t>. </a:t>
                    </a:r>
                    <a:r>
                      <a:rPr lang="en-US"/>
                      <a:t>pregl</a:t>
                    </a:r>
                    <a:r>
                      <a:rPr lang="hr-HR"/>
                      <a:t>.</a:t>
                    </a:r>
                    <a:r>
                      <a:rPr lang="en-US"/>
                      <a:t>život</a:t>
                    </a:r>
                    <a:r>
                      <a:rPr lang="hr-HR"/>
                      <a:t>.</a:t>
                    </a:r>
                    <a:r>
                      <a:rPr lang="en-US"/>
                      <a:t>i bilj</a:t>
                    </a:r>
                    <a:r>
                      <a:rPr lang="hr-HR"/>
                      <a:t>.</a:t>
                    </a:r>
                    <a:r>
                      <a:rPr lang="en-US"/>
                      <a:t>; 0,58%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2.9664723032069972E-2"/>
                  <c:y val="4.8873487348734923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0.12313873495359171"/>
                  <c:y val="5.2186087685784838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"/>
                  <c:y val="0.17521641895354798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6.4503293380844512E-2"/>
                  <c:y val="-0.230528052805280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Nakn</a:t>
                    </a:r>
                    <a:r>
                      <a:rPr lang="hr-HR"/>
                      <a:t>.</a:t>
                    </a:r>
                    <a:r>
                      <a:rPr lang="en-US"/>
                      <a:t>za zašt</a:t>
                    </a:r>
                    <a:r>
                      <a:rPr lang="hr-HR"/>
                      <a:t>.</a:t>
                    </a:r>
                    <a:r>
                      <a:rPr lang="en-US"/>
                      <a:t> okoliša; 2,22%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0.11897959183673468"/>
                  <c:y val="-8.80247524752498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Pos.nakn</a:t>
                    </a:r>
                    <a:r>
                      <a:rPr lang="hr-HR"/>
                      <a:t>.</a:t>
                    </a:r>
                    <a:r>
                      <a:rPr lang="en-US"/>
                      <a:t>za zašt</a:t>
                    </a:r>
                    <a:r>
                      <a:rPr lang="hr-HR"/>
                      <a:t>.</a:t>
                    </a:r>
                    <a:r>
                      <a:rPr lang="en-US"/>
                      <a:t>od prir.i dr.nesr</a:t>
                    </a:r>
                    <a:r>
                      <a:rPr lang="hr-HR"/>
                      <a:t>.</a:t>
                    </a:r>
                    <a:r>
                      <a:rPr lang="en-US"/>
                      <a:t>; 5,01%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Naknade i pristojbe za vet.i sanit.preglede životinja i biljaka</c:v>
                </c:pt>
                <c:pt idx="1">
                  <c:v>Vodne naknade</c:v>
                </c:pt>
                <c:pt idx="2">
                  <c:v>Cestovne naknade</c:v>
                </c:pt>
                <c:pt idx="3">
                  <c:v>Zaostale obveze-šume</c:v>
                </c:pt>
                <c:pt idx="4">
                  <c:v>Naknade za zaštitu okoliša</c:v>
                </c:pt>
                <c:pt idx="5">
                  <c:v>Pos.naknade za zaštitu od prir.i dr.nesreća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1.4700000000000001E-2</c:v>
                </c:pt>
                <c:pt idx="1">
                  <c:v>0.2752</c:v>
                </c:pt>
                <c:pt idx="2">
                  <c:v>0.42510000000000031</c:v>
                </c:pt>
                <c:pt idx="3">
                  <c:v>4.0000000000000034E-4</c:v>
                </c:pt>
                <c:pt idx="4">
                  <c:v>0.21640000000000031</c:v>
                </c:pt>
                <c:pt idx="5">
                  <c:v>6.8199999999999997E-2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80"/>
      <c:perspective val="0"/>
    </c:view3D>
    <c:plotArea>
      <c:layout>
        <c:manualLayout>
          <c:layoutTarget val="inner"/>
          <c:xMode val="edge"/>
          <c:yMode val="edge"/>
          <c:x val="9.6893800176060276E-4"/>
          <c:y val="0.12553976207519521"/>
          <c:w val="0.99903115003727749"/>
          <c:h val="0.6904055754251546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7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explosion val="9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explosion val="4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explosion val="39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6.0098699022745977E-2"/>
                  <c:y val="5.7720057720056792E-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6.6288178429010067E-2"/>
                  <c:y val="3.6324550340298196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3.7812313646265741E-3"/>
                  <c:y val="-0.1071429707650182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4.2375267233790433E-2"/>
                  <c:y val="-0.21356421356421396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4"/>
              <c:layout>
                <c:manualLayout>
                  <c:x val="-1.3403067661364601E-2"/>
                  <c:y val="-0.15319357807546791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3.4752562807547044E-2"/>
                  <c:y val="-0.20312869982161325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7.6918505356845884E-2"/>
                  <c:y val="1.6499755712354045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0.14290263562495184"/>
                  <c:y val="-0.22444648964334138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4.5135837927524014E-2"/>
                  <c:y val="-6.3356625876312134E-2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9.7263566551862746E-2"/>
                  <c:y val="0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Min.zdravstva (CŽR)</c:v>
                </c:pt>
                <c:pt idx="1">
                  <c:v>Ostali</c:v>
                </c:pt>
                <c:pt idx="2">
                  <c:v>Riznica (pror.potpora)</c:v>
                </c:pt>
                <c:pt idx="3">
                  <c:v>Osn.obrazovanje (Fed.zavod za zapošljavanje)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0.26900000000000002</c:v>
                </c:pt>
                <c:pt idx="1">
                  <c:v>1.3800000000000028E-2</c:v>
                </c:pt>
                <c:pt idx="2">
                  <c:v>0.69180000000000064</c:v>
                </c:pt>
                <c:pt idx="3">
                  <c:v>2.5399999999999999E-2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3DFB-74D6-4975-92F4-7F3A6303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35</Pages>
  <Words>12485</Words>
  <Characters>71171</Characters>
  <Application>Microsoft Office Word</Application>
  <DocSecurity>0</DocSecurity>
  <Lines>593</Lines>
  <Paragraphs>166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Ružica Živković</cp:lastModifiedBy>
  <cp:revision>24</cp:revision>
  <cp:lastPrinted>2015-11-11T13:27:00Z</cp:lastPrinted>
  <dcterms:created xsi:type="dcterms:W3CDTF">2020-03-05T13:21:00Z</dcterms:created>
  <dcterms:modified xsi:type="dcterms:W3CDTF">2020-03-11T10:48:00Z</dcterms:modified>
</cp:coreProperties>
</file>