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za razdoblje od 01.01. do </w:t>
      </w:r>
      <w:r w:rsidR="00126FE0">
        <w:rPr>
          <w:b/>
          <w:sz w:val="28"/>
          <w:szCs w:val="28"/>
        </w:rPr>
        <w:t>31</w:t>
      </w:r>
      <w:r w:rsidRPr="00C84C95">
        <w:rPr>
          <w:b/>
          <w:sz w:val="28"/>
          <w:szCs w:val="28"/>
        </w:rPr>
        <w:t>.0</w:t>
      </w:r>
      <w:r w:rsidR="00126FE0">
        <w:rPr>
          <w:b/>
          <w:sz w:val="28"/>
          <w:szCs w:val="28"/>
        </w:rPr>
        <w:t>3</w:t>
      </w:r>
      <w:r w:rsidRPr="00C84C95">
        <w:rPr>
          <w:b/>
          <w:sz w:val="28"/>
          <w:szCs w:val="28"/>
        </w:rPr>
        <w:t>.20</w:t>
      </w:r>
      <w:r w:rsidR="00126FE0">
        <w:rPr>
          <w:b/>
          <w:sz w:val="28"/>
          <w:szCs w:val="28"/>
        </w:rPr>
        <w:t>20</w:t>
      </w:r>
      <w:r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t xml:space="preserve">Orašje, </w:t>
      </w:r>
      <w:r w:rsidR="00126FE0">
        <w:t>svibanj</w:t>
      </w:r>
      <w:r>
        <w:t xml:space="preserve"> 20</w:t>
      </w:r>
      <w:r w:rsidR="00126FE0">
        <w:t>20.</w:t>
      </w:r>
      <w:r>
        <w:t xml:space="preserve">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 w:rsidR="00D4643C">
              <w:t xml:space="preserve"> </w:t>
            </w:r>
            <w:proofErr w:type="spellStart"/>
            <w:r>
              <w:t>of</w:t>
            </w:r>
            <w:proofErr w:type="spellEnd"/>
            <w:r w:rsidR="00D4643C">
              <w:t xml:space="preserve"> </w:t>
            </w:r>
            <w:proofErr w:type="spellStart"/>
            <w:r>
              <w:t>Bosnia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>
              <w:t>Herzegovina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 xml:space="preserve">za razdoblje od 01.01. do </w:t>
      </w:r>
      <w:r w:rsidR="00126FE0">
        <w:rPr>
          <w:b/>
        </w:rPr>
        <w:t>31</w:t>
      </w:r>
      <w:r w:rsidRPr="00E603FC">
        <w:rPr>
          <w:b/>
        </w:rPr>
        <w:t>.0</w:t>
      </w:r>
      <w:r w:rsidR="00126FE0">
        <w:rPr>
          <w:b/>
        </w:rPr>
        <w:t>3</w:t>
      </w:r>
      <w:r w:rsidRPr="00E603FC">
        <w:rPr>
          <w:b/>
        </w:rPr>
        <w:t>.20</w:t>
      </w:r>
      <w:r w:rsidR="00126FE0">
        <w:rPr>
          <w:b/>
        </w:rPr>
        <w:t>20</w:t>
      </w:r>
      <w:r w:rsidRPr="00E603FC">
        <w:rPr>
          <w:b/>
        </w:rPr>
        <w:t>. godine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 xml:space="preserve">Ukupno planirana sredstva na tekućim pričuvama u fiskalnoj </w:t>
      </w:r>
      <w:r w:rsidR="00126FE0">
        <w:t>2020</w:t>
      </w:r>
      <w:r w:rsidRPr="002A4EF4">
        <w:t xml:space="preserve">. godini iznose </w:t>
      </w:r>
      <w:r w:rsidR="00126FE0">
        <w:t>360</w:t>
      </w:r>
      <w:r w:rsidR="00D4643C" w:rsidRPr="002A4EF4">
        <w:t>.000</w:t>
      </w:r>
      <w:r w:rsidR="00D74657">
        <w:t xml:space="preserve"> KM. U razdoblju od 01.01. do </w:t>
      </w:r>
      <w:r w:rsidR="00126FE0">
        <w:t>31</w:t>
      </w:r>
      <w:r w:rsidRPr="00E603FC">
        <w:t>.0</w:t>
      </w:r>
      <w:r w:rsidR="00126FE0">
        <w:t>3</w:t>
      </w:r>
      <w:r w:rsidRPr="00E603FC">
        <w:t>.20</w:t>
      </w:r>
      <w:r w:rsidR="00126FE0">
        <w:t>20</w:t>
      </w:r>
      <w:r w:rsidRPr="00E603FC">
        <w:t xml:space="preserve">. godine </w:t>
      </w:r>
      <w:r w:rsidR="00D00BBD">
        <w:t xml:space="preserve">utrošeno je ukupno </w:t>
      </w:r>
      <w:r w:rsidR="00126FE0">
        <w:t>163.400</w:t>
      </w:r>
      <w:r w:rsidR="00DF7334">
        <w:t xml:space="preserve"> KM ili </w:t>
      </w:r>
      <w:r w:rsidR="00126FE0">
        <w:t>45,39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ODOBRENO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126FE0" w:rsidP="008C5A64">
            <w:pPr>
              <w:tabs>
                <w:tab w:val="left" w:pos="900"/>
              </w:tabs>
              <w:ind w:right="317"/>
              <w:jc w:val="right"/>
            </w:pPr>
            <w:r>
              <w:t>300.000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154.200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126FE0" w:rsidP="008C5A64">
            <w:pPr>
              <w:tabs>
                <w:tab w:val="left" w:pos="900"/>
              </w:tabs>
              <w:jc w:val="right"/>
            </w:pPr>
            <w:r>
              <w:t>51,40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102D13" w:rsidP="008C5A64">
            <w:pPr>
              <w:tabs>
                <w:tab w:val="left" w:pos="900"/>
              </w:tabs>
              <w:ind w:right="317"/>
              <w:jc w:val="right"/>
            </w:pPr>
            <w:r>
              <w:t>30.000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5.500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126FE0" w:rsidP="009263F2">
            <w:pPr>
              <w:tabs>
                <w:tab w:val="left" w:pos="900"/>
              </w:tabs>
              <w:jc w:val="right"/>
            </w:pPr>
            <w:r>
              <w:t>18,33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102D13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126FE0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3.400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693" w:rsidRPr="00E603FC" w:rsidRDefault="00126FE0" w:rsidP="00E85693">
            <w:pPr>
              <w:tabs>
                <w:tab w:val="left" w:pos="900"/>
              </w:tabs>
              <w:jc w:val="right"/>
            </w:pPr>
            <w:r>
              <w:t>22,67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102D13" w:rsidP="00D4643C">
            <w:pPr>
              <w:tabs>
                <w:tab w:val="left" w:pos="900"/>
              </w:tabs>
              <w:ind w:right="317"/>
              <w:jc w:val="right"/>
            </w:pPr>
            <w:r>
              <w:t>15.000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126FE0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126FE0" w:rsidP="00D4643C">
            <w:pPr>
              <w:tabs>
                <w:tab w:val="left" w:pos="900"/>
              </w:tabs>
              <w:jc w:val="right"/>
            </w:pPr>
            <w:r>
              <w:t>2,00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</w:t>
            </w:r>
            <w:r w:rsidR="000554E5">
              <w:rPr>
                <w:b/>
              </w:rPr>
              <w:t>+IV</w:t>
            </w:r>
            <w:r w:rsidRPr="00331548">
              <w:rPr>
                <w:b/>
              </w:rPr>
              <w:t>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B0680F" w:rsidP="00126FE0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102D1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26FE0">
              <w:rPr>
                <w:b/>
                <w:noProof/>
              </w:rPr>
              <w:t>3</w:t>
            </w:r>
            <w:r w:rsidR="00102D13">
              <w:rPr>
                <w:b/>
                <w:noProof/>
              </w:rPr>
              <w:t>60.000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B0680F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126FE0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26FE0">
              <w:rPr>
                <w:b/>
                <w:noProof/>
              </w:rPr>
              <w:t>163.400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126FE0" w:rsidP="00BA3020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45,39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Izvješće o utrošku tekućih pričuva Županije Posavske za razdoblje 01.01.-</w:t>
      </w:r>
      <w:r w:rsidR="00126FE0">
        <w:rPr>
          <w:szCs w:val="24"/>
        </w:rPr>
        <w:t>31</w:t>
      </w:r>
      <w:r w:rsidRPr="00285437">
        <w:rPr>
          <w:szCs w:val="24"/>
        </w:rPr>
        <w:t>.0</w:t>
      </w:r>
      <w:r w:rsidR="00126FE0">
        <w:rPr>
          <w:szCs w:val="24"/>
        </w:rPr>
        <w:t>3</w:t>
      </w:r>
      <w:r w:rsidRPr="00285437">
        <w:rPr>
          <w:szCs w:val="24"/>
        </w:rPr>
        <w:t>.20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</w:t>
      </w:r>
      <w:r w:rsidR="006633C9">
        <w:rPr>
          <w:szCs w:val="24"/>
        </w:rPr>
        <w:t>,</w:t>
      </w:r>
      <w:r>
        <w:rPr>
          <w:szCs w:val="24"/>
        </w:rPr>
        <w:t xml:space="preserve"> 13/14</w:t>
      </w:r>
      <w:r w:rsidR="006633C9">
        <w:rPr>
          <w:szCs w:val="24"/>
        </w:rPr>
        <w:t>, 8/15, 91/15</w:t>
      </w:r>
      <w:r w:rsidR="001A7D11">
        <w:rPr>
          <w:szCs w:val="24"/>
        </w:rPr>
        <w:t>,</w:t>
      </w:r>
      <w:r w:rsidR="006633C9">
        <w:rPr>
          <w:szCs w:val="24"/>
        </w:rPr>
        <w:t xml:space="preserve"> 102/15</w:t>
      </w:r>
      <w:r w:rsidR="00E85693">
        <w:rPr>
          <w:szCs w:val="24"/>
        </w:rPr>
        <w:t>,</w:t>
      </w:r>
      <w:r w:rsidR="001A7D11">
        <w:rPr>
          <w:szCs w:val="24"/>
        </w:rPr>
        <w:t xml:space="preserve"> 104/16</w:t>
      </w:r>
      <w:r w:rsidR="00102D13">
        <w:rPr>
          <w:szCs w:val="24"/>
        </w:rPr>
        <w:t>,</w:t>
      </w:r>
      <w:r w:rsidR="00E85693">
        <w:rPr>
          <w:szCs w:val="24"/>
        </w:rPr>
        <w:t xml:space="preserve"> 5/18</w:t>
      </w:r>
      <w:r w:rsidR="00126FE0">
        <w:rPr>
          <w:szCs w:val="24"/>
        </w:rPr>
        <w:t>,</w:t>
      </w:r>
      <w:r w:rsidR="00102D13">
        <w:rPr>
          <w:szCs w:val="24"/>
        </w:rPr>
        <w:t xml:space="preserve"> 11/19</w:t>
      </w:r>
      <w:r w:rsidR="00126FE0">
        <w:rPr>
          <w:szCs w:val="24"/>
        </w:rPr>
        <w:t xml:space="preserve"> i 99/19</w:t>
      </w:r>
      <w:r w:rsidRPr="00285437">
        <w:rPr>
          <w:szCs w:val="24"/>
        </w:rPr>
        <w:t>).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Izvještavanje o utrošku i raspolaganje sredstvima tekućih pričuva utvrđenih Proračunom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godinu („Narodne novine Županije Posavske“, broj: </w:t>
      </w:r>
      <w:r w:rsidR="00126FE0">
        <w:rPr>
          <w:szCs w:val="24"/>
        </w:rPr>
        <w:t>15/19</w:t>
      </w:r>
      <w:r w:rsidRPr="00162A54">
        <w:rPr>
          <w:szCs w:val="24"/>
        </w:rPr>
        <w:t>)</w:t>
      </w:r>
      <w:r w:rsidR="00E85693">
        <w:rPr>
          <w:szCs w:val="24"/>
        </w:rPr>
        <w:t>,</w:t>
      </w:r>
      <w:r w:rsidRPr="00162A54">
        <w:rPr>
          <w:szCs w:val="24"/>
        </w:rPr>
        <w:t xml:space="preserve"> te </w:t>
      </w:r>
      <w:r w:rsidR="00102D13" w:rsidRPr="0003178B">
        <w:t>Odluk</w:t>
      </w:r>
      <w:r w:rsidR="00102D13">
        <w:t>om</w:t>
      </w:r>
      <w:r w:rsidR="00102D13" w:rsidRPr="0003178B">
        <w:t xml:space="preserve"> o </w:t>
      </w:r>
      <w:r w:rsidR="00102D13" w:rsidRPr="0003178B">
        <w:rPr>
          <w:bCs/>
        </w:rPr>
        <w:t>kriterijima za raspodjelu sredstava iz tekuće pričuve Proračuna Županije Posavske za 20</w:t>
      </w:r>
      <w:r w:rsidR="00126FE0">
        <w:rPr>
          <w:bCs/>
        </w:rPr>
        <w:t>20</w:t>
      </w:r>
      <w:r w:rsidR="00102D13">
        <w:rPr>
          <w:bCs/>
        </w:rPr>
        <w:t xml:space="preserve">. godinu </w:t>
      </w:r>
      <w:r w:rsidRPr="00162A54">
        <w:rPr>
          <w:szCs w:val="24"/>
        </w:rPr>
        <w:t xml:space="preserve">(„Narodne novine Županije Posavske“, broj: </w:t>
      </w:r>
      <w:r w:rsidR="00E85693">
        <w:rPr>
          <w:szCs w:val="24"/>
        </w:rPr>
        <w:t>1</w:t>
      </w:r>
      <w:r w:rsidR="00126FE0">
        <w:rPr>
          <w:szCs w:val="24"/>
        </w:rPr>
        <w:t>/20</w:t>
      </w:r>
      <w:r w:rsidRPr="00162A54">
        <w:rPr>
          <w:szCs w:val="24"/>
        </w:rPr>
        <w:t>).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>Ukupno planirana sredstva na tekućim pričuvama u fiskalnoj 20</w:t>
      </w:r>
      <w:r w:rsidR="00126FE0">
        <w:rPr>
          <w:szCs w:val="24"/>
        </w:rPr>
        <w:t>20</w:t>
      </w:r>
      <w:r w:rsidR="00B65151">
        <w:rPr>
          <w:szCs w:val="24"/>
        </w:rPr>
        <w:t xml:space="preserve">. godini iznose </w:t>
      </w:r>
      <w:r w:rsidR="00126FE0">
        <w:rPr>
          <w:szCs w:val="24"/>
        </w:rPr>
        <w:t>3</w:t>
      </w:r>
      <w:r w:rsidR="00E85693">
        <w:rPr>
          <w:szCs w:val="24"/>
        </w:rPr>
        <w:t>60</w:t>
      </w:r>
      <w:r w:rsidR="009263F2">
        <w:rPr>
          <w:szCs w:val="24"/>
        </w:rPr>
        <w:t>.000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D74657">
        <w:rPr>
          <w:szCs w:val="24"/>
        </w:rPr>
        <w:t>U</w:t>
      </w:r>
      <w:r w:rsidRPr="00285437">
        <w:rPr>
          <w:szCs w:val="24"/>
        </w:rPr>
        <w:t xml:space="preserve"> razdoblju 01.01.-</w:t>
      </w:r>
      <w:r w:rsidR="00126FE0">
        <w:rPr>
          <w:szCs w:val="24"/>
        </w:rPr>
        <w:t>31</w:t>
      </w:r>
      <w:r w:rsidRPr="00285437">
        <w:rPr>
          <w:szCs w:val="24"/>
        </w:rPr>
        <w:t>.</w:t>
      </w:r>
      <w:r w:rsidR="00B65151">
        <w:rPr>
          <w:szCs w:val="24"/>
        </w:rPr>
        <w:t>0</w:t>
      </w:r>
      <w:r w:rsidR="00126FE0">
        <w:rPr>
          <w:szCs w:val="24"/>
        </w:rPr>
        <w:t>3</w:t>
      </w:r>
      <w:r w:rsidR="00B65151">
        <w:rPr>
          <w:szCs w:val="24"/>
        </w:rPr>
        <w:t>.</w:t>
      </w:r>
      <w:r w:rsidRPr="00285437">
        <w:rPr>
          <w:szCs w:val="24"/>
        </w:rPr>
        <w:t>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>utrošeno je</w:t>
      </w:r>
      <w:r w:rsidR="00102D13">
        <w:rPr>
          <w:szCs w:val="24"/>
        </w:rPr>
        <w:t xml:space="preserve"> ukupno</w:t>
      </w:r>
      <w:r w:rsidR="00DF7334">
        <w:rPr>
          <w:szCs w:val="24"/>
        </w:rPr>
        <w:t xml:space="preserve"> </w:t>
      </w:r>
      <w:r w:rsidR="00126FE0">
        <w:rPr>
          <w:szCs w:val="24"/>
        </w:rPr>
        <w:t>163.400</w:t>
      </w:r>
      <w:r w:rsidR="00DF7334">
        <w:rPr>
          <w:szCs w:val="24"/>
        </w:rPr>
        <w:t xml:space="preserve"> KM ili </w:t>
      </w:r>
      <w:r w:rsidR="00126FE0">
        <w:rPr>
          <w:szCs w:val="24"/>
        </w:rPr>
        <w:t>45,39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>Tablica 1. Struktura utroška sredstava tekućih pričuva u razdoblju 01.01.-</w:t>
      </w:r>
      <w:r w:rsidR="00126FE0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126FE0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154.200</w:t>
            </w:r>
          </w:p>
        </w:tc>
        <w:tc>
          <w:tcPr>
            <w:tcW w:w="1835" w:type="dxa"/>
            <w:vAlign w:val="center"/>
          </w:tcPr>
          <w:p w:rsidR="00DF7334" w:rsidRPr="00DF7571" w:rsidRDefault="00126FE0" w:rsidP="00B00B66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94,37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5.500</w:t>
            </w:r>
          </w:p>
        </w:tc>
        <w:tc>
          <w:tcPr>
            <w:tcW w:w="1835" w:type="dxa"/>
            <w:vAlign w:val="center"/>
          </w:tcPr>
          <w:p w:rsidR="00DF7334" w:rsidRPr="00DF7571" w:rsidRDefault="00126FE0" w:rsidP="008C5A64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3,37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3.400</w:t>
            </w:r>
          </w:p>
        </w:tc>
        <w:tc>
          <w:tcPr>
            <w:tcW w:w="1835" w:type="dxa"/>
            <w:vAlign w:val="center"/>
          </w:tcPr>
          <w:p w:rsidR="00DF7334" w:rsidRPr="00DF7571" w:rsidRDefault="00126FE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2,08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126FE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300</w:t>
            </w:r>
          </w:p>
        </w:tc>
        <w:tc>
          <w:tcPr>
            <w:tcW w:w="1835" w:type="dxa"/>
            <w:vAlign w:val="center"/>
          </w:tcPr>
          <w:p w:rsidR="006633C9" w:rsidRPr="00DF7571" w:rsidRDefault="00126FE0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0,18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</w:t>
            </w:r>
            <w:r w:rsidR="000554E5">
              <w:rPr>
                <w:rFonts w:cs="Times New Roman"/>
                <w:b/>
              </w:rPr>
              <w:t>+IV</w:t>
            </w:r>
            <w:r w:rsidRPr="00DF7571">
              <w:rPr>
                <w:rFonts w:cs="Times New Roman"/>
                <w:b/>
              </w:rPr>
              <w:t>):</w:t>
            </w:r>
          </w:p>
        </w:tc>
        <w:tc>
          <w:tcPr>
            <w:tcW w:w="1701" w:type="dxa"/>
          </w:tcPr>
          <w:p w:rsidR="00DF7334" w:rsidRPr="00DF7571" w:rsidRDefault="00B0680F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126FE0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26FE0">
              <w:rPr>
                <w:rFonts w:cs="Times New Roman"/>
                <w:b/>
                <w:noProof/>
              </w:rPr>
              <w:t>163.400</w:t>
            </w:r>
            <w:r>
              <w:rPr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B0680F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b/>
              </w:rPr>
              <w:fldChar w:fldCharType="begin"/>
            </w:r>
            <w:r w:rsidR="00126FE0">
              <w:rPr>
                <w:rFonts w:cs="Times New Roman"/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26FE0">
              <w:rPr>
                <w:rFonts w:cs="Times New Roman"/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126FE0"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>ih pričuva u razdoblju 01.01.-</w:t>
      </w:r>
      <w:r w:rsidR="00126FE0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126FE0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lastRenderedPageBreak/>
        <w:t>I</w:t>
      </w:r>
      <w:r w:rsidRPr="000648BD">
        <w:rPr>
          <w:b/>
          <w:i/>
          <w:szCs w:val="24"/>
        </w:rPr>
        <w:tab/>
        <w:t>TEKUĆA PRIČUVA VLADE</w:t>
      </w:r>
    </w:p>
    <w:p w:rsidR="00A07FB6" w:rsidRPr="0060772D" w:rsidRDefault="00A07FB6" w:rsidP="00DF7334">
      <w:pPr>
        <w:jc w:val="both"/>
        <w:rPr>
          <w:sz w:val="16"/>
          <w:szCs w:val="16"/>
        </w:rPr>
      </w:pPr>
    </w:p>
    <w:p w:rsidR="00DF7334" w:rsidRDefault="00DF7334" w:rsidP="00DF7334">
      <w:pPr>
        <w:jc w:val="both"/>
        <w:rPr>
          <w:szCs w:val="24"/>
        </w:rPr>
      </w:pPr>
      <w:r>
        <w:rPr>
          <w:szCs w:val="24"/>
        </w:rPr>
        <w:t>S pozicije „Tekuća pričuva Vlade“ u razdoblju 01.01.-</w:t>
      </w:r>
      <w:r w:rsidR="00126FE0">
        <w:rPr>
          <w:szCs w:val="24"/>
        </w:rPr>
        <w:t>31</w:t>
      </w:r>
      <w:r>
        <w:rPr>
          <w:szCs w:val="24"/>
        </w:rPr>
        <w:t>.0</w:t>
      </w:r>
      <w:r w:rsidR="00126FE0">
        <w:rPr>
          <w:szCs w:val="24"/>
        </w:rPr>
        <w:t>3</w:t>
      </w:r>
      <w:r>
        <w:rPr>
          <w:szCs w:val="24"/>
        </w:rPr>
        <w:t>.20</w:t>
      </w:r>
      <w:r w:rsidR="00126FE0">
        <w:rPr>
          <w:szCs w:val="24"/>
        </w:rPr>
        <w:t>20</w:t>
      </w:r>
      <w:r>
        <w:rPr>
          <w:szCs w:val="24"/>
        </w:rPr>
        <w:t xml:space="preserve">. godine utrošeno je </w:t>
      </w:r>
      <w:r w:rsidR="00126FE0">
        <w:rPr>
          <w:szCs w:val="24"/>
        </w:rPr>
        <w:t>154.200</w:t>
      </w:r>
      <w:r w:rsidR="00102D13">
        <w:rPr>
          <w:szCs w:val="24"/>
        </w:rPr>
        <w:t xml:space="preserve"> KM</w:t>
      </w:r>
      <w:r>
        <w:rPr>
          <w:szCs w:val="24"/>
        </w:rPr>
        <w:t xml:space="preserve"> ili </w:t>
      </w:r>
      <w:r w:rsidR="00126FE0">
        <w:rPr>
          <w:szCs w:val="24"/>
        </w:rPr>
        <w:t>51,40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A07FB6" w:rsidRPr="0060772D" w:rsidRDefault="00A07FB6" w:rsidP="00DF7334">
      <w:pPr>
        <w:jc w:val="both"/>
        <w:rPr>
          <w:sz w:val="16"/>
          <w:szCs w:val="16"/>
        </w:rPr>
      </w:pPr>
    </w:p>
    <w:tbl>
      <w:tblPr>
        <w:tblStyle w:val="Srednjipopis21"/>
        <w:tblW w:w="9747" w:type="dxa"/>
        <w:tblLook w:val="04A0"/>
      </w:tblPr>
      <w:tblGrid>
        <w:gridCol w:w="2376"/>
        <w:gridCol w:w="2694"/>
        <w:gridCol w:w="3402"/>
        <w:gridCol w:w="1275"/>
      </w:tblGrid>
      <w:tr w:rsidR="00562AF9" w:rsidRPr="000A0058" w:rsidTr="00C53651">
        <w:trPr>
          <w:cnfStyle w:val="100000000000"/>
        </w:trPr>
        <w:tc>
          <w:tcPr>
            <w:cnfStyle w:val="001000000100"/>
            <w:tcW w:w="2376" w:type="dxa"/>
          </w:tcPr>
          <w:p w:rsidR="00DF7334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DF7334" w:rsidRPr="000A0058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694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402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55308" w:rsidRPr="000A0058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55308" w:rsidRPr="000A0058" w:rsidRDefault="00555308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Dom.-</w:t>
            </w:r>
            <w:proofErr w:type="spellStart"/>
            <w:r>
              <w:rPr>
                <w:color w:val="auto"/>
                <w:sz w:val="20"/>
                <w:szCs w:val="20"/>
              </w:rPr>
              <w:t>Šamac</w:t>
            </w:r>
            <w:proofErr w:type="spellEnd"/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zdravlja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Domaljevac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Pčelica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color w:val="auto"/>
                <w:sz w:val="20"/>
                <w:szCs w:val="20"/>
              </w:rPr>
              <w:t>P.Cerueto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Domaljevac</w:t>
            </w:r>
          </w:p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Crveni križ Općine Orašje</w:t>
            </w:r>
          </w:p>
          <w:p w:rsidR="00126FE0" w:rsidRPr="000A0058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Kuća nade Odžak</w:t>
            </w:r>
          </w:p>
        </w:tc>
        <w:tc>
          <w:tcPr>
            <w:tcW w:w="3402" w:type="dxa"/>
            <w:vAlign w:val="center"/>
          </w:tcPr>
          <w:p w:rsidR="00555308" w:rsidRPr="000A005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555308" w:rsidRPr="00793F1D" w:rsidRDefault="00126FE0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23.700</w:t>
            </w:r>
            <w:r w:rsidR="009041EC">
              <w:rPr>
                <w:color w:val="auto"/>
                <w:sz w:val="20"/>
                <w:szCs w:val="20"/>
              </w:rPr>
              <w:t>,00</w:t>
            </w:r>
          </w:p>
        </w:tc>
      </w:tr>
      <w:tr w:rsidR="00562AF9" w:rsidRPr="000A0058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562AF9" w:rsidRPr="000A0058" w:rsidRDefault="00562AF9" w:rsidP="00AF755D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62AF9" w:rsidRPr="000A0058" w:rsidRDefault="00C53651" w:rsidP="002B23E8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Sveučilište u Mostaru</w:t>
            </w:r>
          </w:p>
        </w:tc>
        <w:tc>
          <w:tcPr>
            <w:tcW w:w="3402" w:type="dxa"/>
            <w:vAlign w:val="center"/>
          </w:tcPr>
          <w:p w:rsidR="00963997" w:rsidRPr="000A0058" w:rsidRDefault="00562AF9" w:rsidP="00C53651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4B425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C53651">
              <w:rPr>
                <w:color w:val="auto"/>
                <w:sz w:val="20"/>
                <w:szCs w:val="20"/>
              </w:rPr>
              <w:t>međunarodne znanstveno-stručne konferencije</w:t>
            </w:r>
            <w:r w:rsidR="004B425F">
              <w:rPr>
                <w:color w:val="auto"/>
                <w:sz w:val="20"/>
                <w:szCs w:val="20"/>
              </w:rPr>
              <w:t xml:space="preserve"> </w:t>
            </w:r>
            <w:r w:rsidR="00C53651">
              <w:rPr>
                <w:color w:val="auto"/>
                <w:sz w:val="20"/>
                <w:szCs w:val="20"/>
              </w:rPr>
              <w:t>i sudjelovanja na istoj</w:t>
            </w:r>
          </w:p>
        </w:tc>
        <w:tc>
          <w:tcPr>
            <w:tcW w:w="1275" w:type="dxa"/>
            <w:vAlign w:val="center"/>
          </w:tcPr>
          <w:p w:rsidR="00562AF9" w:rsidRPr="00793F1D" w:rsidRDefault="00C53651" w:rsidP="0096399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15.000</w:t>
            </w:r>
            <w:r w:rsidR="00555308">
              <w:rPr>
                <w:color w:val="auto"/>
                <w:sz w:val="20"/>
                <w:szCs w:val="20"/>
              </w:rPr>
              <w:t>,00</w:t>
            </w:r>
          </w:p>
        </w:tc>
      </w:tr>
      <w:tr w:rsidR="00564775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C53651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="00564775"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564775" w:rsidRPr="00E16744" w:rsidRDefault="00C53651" w:rsidP="003B62E2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Zdravstvene institucije</w:t>
            </w:r>
          </w:p>
        </w:tc>
        <w:tc>
          <w:tcPr>
            <w:tcW w:w="3402" w:type="dxa"/>
            <w:vAlign w:val="center"/>
          </w:tcPr>
          <w:p w:rsidR="00564775" w:rsidRPr="00E16744" w:rsidRDefault="00C53651" w:rsidP="00564775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radi održavanja uvjeta za kontinuirano provođenje zdravstvene zaštite u uvjetima epidemije COVID-19</w:t>
            </w:r>
          </w:p>
        </w:tc>
        <w:tc>
          <w:tcPr>
            <w:tcW w:w="1275" w:type="dxa"/>
            <w:vAlign w:val="center"/>
          </w:tcPr>
          <w:p w:rsidR="00564775" w:rsidRPr="00E16744" w:rsidRDefault="00C53651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  <w:r w:rsidR="00564775">
              <w:rPr>
                <w:sz w:val="20"/>
                <w:szCs w:val="20"/>
              </w:rPr>
              <w:t>,00</w:t>
            </w:r>
          </w:p>
        </w:tc>
      </w:tr>
      <w:tr w:rsidR="000575F5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75F5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402" w:type="dxa"/>
            <w:vAlign w:val="center"/>
          </w:tcPr>
          <w:p w:rsidR="000575F5" w:rsidRDefault="000575F5" w:rsidP="00C53651">
            <w:pPr>
              <w:cnfStyle w:val="0000000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0575F5" w:rsidRDefault="00C53651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0575F5" w:rsidRPr="0004144D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100000"/>
              <w:rPr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</w:t>
            </w:r>
          </w:p>
        </w:tc>
        <w:tc>
          <w:tcPr>
            <w:tcW w:w="3402" w:type="dxa"/>
            <w:vAlign w:val="center"/>
          </w:tcPr>
          <w:p w:rsidR="000575F5" w:rsidRDefault="00C53651" w:rsidP="000575F5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radu uslijed povećanih troškova prouzročenih epidemijom COVID-19</w:t>
            </w:r>
          </w:p>
        </w:tc>
        <w:tc>
          <w:tcPr>
            <w:tcW w:w="1275" w:type="dxa"/>
            <w:vAlign w:val="center"/>
          </w:tcPr>
          <w:p w:rsidR="000575F5" w:rsidRDefault="00C53651" w:rsidP="000575F5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</w:t>
            </w:r>
            <w:r w:rsidR="00564775">
              <w:rPr>
                <w:sz w:val="20"/>
                <w:szCs w:val="20"/>
              </w:rPr>
              <w:t>00</w:t>
            </w:r>
          </w:p>
        </w:tc>
      </w:tr>
      <w:tr w:rsidR="00564775" w:rsidRPr="00E16744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564775" w:rsidP="00C53651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564775" w:rsidRPr="00E16744" w:rsidRDefault="00564775" w:rsidP="003B62E2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402" w:type="dxa"/>
            <w:vAlign w:val="center"/>
          </w:tcPr>
          <w:p w:rsidR="00564775" w:rsidRPr="00E16744" w:rsidRDefault="00564775" w:rsidP="003B62E2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>Sufinanciranje izgradnje/sanacije vjerskih objekata i pomoćnih objekata i potpora redovitom poslovanju</w:t>
            </w:r>
          </w:p>
        </w:tc>
        <w:tc>
          <w:tcPr>
            <w:tcW w:w="1275" w:type="dxa"/>
            <w:vAlign w:val="center"/>
          </w:tcPr>
          <w:p w:rsidR="00564775" w:rsidRPr="00E16744" w:rsidRDefault="00C53651" w:rsidP="003B62E2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60772D" w:rsidRPr="0004144D" w:rsidTr="00C53651">
        <w:trPr>
          <w:cnfStyle w:val="000000100000"/>
          <w:trHeight w:val="340"/>
        </w:trPr>
        <w:tc>
          <w:tcPr>
            <w:cnfStyle w:val="001000000000"/>
            <w:tcW w:w="2376" w:type="dxa"/>
            <w:vAlign w:val="center"/>
          </w:tcPr>
          <w:p w:rsidR="0060772D" w:rsidRPr="0004144D" w:rsidRDefault="0060772D" w:rsidP="005F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cnfStyle w:val="0000001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B0680F" w:rsidP="00F51BFD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C53651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C53651">
              <w:rPr>
                <w:b/>
                <w:noProof/>
                <w:sz w:val="20"/>
                <w:szCs w:val="20"/>
              </w:rPr>
              <w:t>154.200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C53651">
              <w:rPr>
                <w:b/>
                <w:sz w:val="20"/>
                <w:szCs w:val="20"/>
              </w:rPr>
              <w:t>,00</w:t>
            </w:r>
          </w:p>
        </w:tc>
      </w:tr>
    </w:tbl>
    <w:p w:rsidR="005F23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857750" cy="2992967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318" w:rsidRPr="003D47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C5A64"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 xml:space="preserve">. Struktura utroška tekuće pričuve Vlade prema primateljima u </w:t>
      </w:r>
      <w:r>
        <w:rPr>
          <w:rFonts w:ascii="Times New Roman" w:hAnsi="Times New Roman"/>
          <w:sz w:val="20"/>
          <w:szCs w:val="20"/>
        </w:rPr>
        <w:t>razdoblju 01.01.-</w:t>
      </w:r>
      <w:r w:rsidR="009041EC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.0</w:t>
      </w:r>
      <w:r w:rsidR="009041E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godine</w:t>
      </w:r>
    </w:p>
    <w:p w:rsidR="00E002B0" w:rsidRDefault="00E002B0" w:rsidP="00B00B66">
      <w:pPr>
        <w:jc w:val="both"/>
        <w:rPr>
          <w:b/>
          <w:i/>
          <w:szCs w:val="24"/>
        </w:rPr>
      </w:pPr>
    </w:p>
    <w:p w:rsidR="00E002B0" w:rsidRDefault="00E002B0" w:rsidP="00B00B66">
      <w:pPr>
        <w:jc w:val="both"/>
        <w:rPr>
          <w:b/>
          <w:i/>
          <w:szCs w:val="24"/>
        </w:rPr>
      </w:pPr>
    </w:p>
    <w:p w:rsidR="00B00B66" w:rsidRPr="000648BD" w:rsidRDefault="00B00B66" w:rsidP="00B00B66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lastRenderedPageBreak/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Default="00B00B66" w:rsidP="00B00B66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>Vlade“ u razdoblju 01.01.-</w:t>
      </w:r>
      <w:r w:rsidR="009041EC">
        <w:rPr>
          <w:szCs w:val="24"/>
        </w:rPr>
        <w:t>31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9041EC">
        <w:rPr>
          <w:szCs w:val="24"/>
        </w:rPr>
        <w:t>3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9041EC">
        <w:rPr>
          <w:szCs w:val="24"/>
        </w:rPr>
        <w:t>5.500</w:t>
      </w:r>
      <w:r w:rsidRPr="003D4718">
        <w:rPr>
          <w:szCs w:val="24"/>
        </w:rPr>
        <w:t xml:space="preserve"> KM ili </w:t>
      </w:r>
      <w:r w:rsidR="009041EC">
        <w:rPr>
          <w:szCs w:val="24"/>
        </w:rPr>
        <w:t>18,33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568C4" w:rsidRDefault="009568C4" w:rsidP="00B00B66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B00B66" w:rsidRPr="000A0058" w:rsidTr="00E002B0">
        <w:trPr>
          <w:cnfStyle w:val="100000000000"/>
        </w:trPr>
        <w:tc>
          <w:tcPr>
            <w:cnfStyle w:val="001000000100"/>
            <w:tcW w:w="2576" w:type="dxa"/>
          </w:tcPr>
          <w:p w:rsidR="00B00B66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B00B66" w:rsidRPr="000A0058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3B62E2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3B62E2" w:rsidRPr="000A0058" w:rsidRDefault="003B62E2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3B62E2" w:rsidRDefault="003B62E2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3B62E2" w:rsidRDefault="003B62E2" w:rsidP="009041E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</w:p>
        </w:tc>
        <w:tc>
          <w:tcPr>
            <w:tcW w:w="1356" w:type="dxa"/>
            <w:vAlign w:val="center"/>
          </w:tcPr>
          <w:p w:rsidR="003B62E2" w:rsidRDefault="009041EC" w:rsidP="00D62F6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  <w:r w:rsidR="00E002B0">
              <w:rPr>
                <w:sz w:val="20"/>
                <w:szCs w:val="20"/>
              </w:rPr>
              <w:t>,</w:t>
            </w:r>
            <w:r w:rsidR="003B62E2">
              <w:rPr>
                <w:sz w:val="20"/>
                <w:szCs w:val="20"/>
              </w:rPr>
              <w:t>00</w:t>
            </w:r>
          </w:p>
        </w:tc>
      </w:tr>
      <w:tr w:rsidR="00DB5D3A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DB5D3A" w:rsidRPr="000A0058" w:rsidRDefault="00DB5D3A" w:rsidP="009041EC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 i</w:t>
            </w:r>
            <w:r w:rsidR="003B62E2"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DB5D3A" w:rsidRPr="000A0058" w:rsidRDefault="00DB5D3A" w:rsidP="008C5A6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DB5D3A" w:rsidRPr="000A0058" w:rsidRDefault="007D7103" w:rsidP="009041EC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</w:t>
            </w:r>
            <w:r w:rsidR="00DB5D3A">
              <w:rPr>
                <w:color w:val="auto"/>
                <w:sz w:val="20"/>
                <w:szCs w:val="20"/>
              </w:rPr>
              <w:t xml:space="preserve"> pomoć za socijalne potrebe</w:t>
            </w:r>
          </w:p>
        </w:tc>
        <w:tc>
          <w:tcPr>
            <w:tcW w:w="1356" w:type="dxa"/>
            <w:vAlign w:val="center"/>
          </w:tcPr>
          <w:p w:rsidR="00DB5D3A" w:rsidRPr="000A0058" w:rsidRDefault="009041EC" w:rsidP="00D62F6D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  <w:r w:rsidR="00922FAD">
              <w:rPr>
                <w:color w:val="auto"/>
                <w:sz w:val="20"/>
                <w:szCs w:val="20"/>
              </w:rPr>
              <w:t>,00</w:t>
            </w:r>
          </w:p>
        </w:tc>
      </w:tr>
      <w:tr w:rsidR="0075452E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75452E" w:rsidRPr="000A0058" w:rsidRDefault="0075452E" w:rsidP="0090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904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169" w:type="dxa"/>
            <w:vAlign w:val="center"/>
          </w:tcPr>
          <w:p w:rsidR="0075452E" w:rsidRDefault="009041EC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5452E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187" w:type="dxa"/>
            <w:vAlign w:val="center"/>
          </w:tcPr>
          <w:p w:rsidR="0075452E" w:rsidRDefault="0075452E" w:rsidP="009041EC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  <w:r w:rsidR="003B62E2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te pomoć redovitom poslovanju</w:t>
            </w:r>
          </w:p>
        </w:tc>
        <w:tc>
          <w:tcPr>
            <w:tcW w:w="1356" w:type="dxa"/>
            <w:vAlign w:val="center"/>
          </w:tcPr>
          <w:p w:rsidR="0075452E" w:rsidRDefault="009041EC" w:rsidP="00EF2C26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  <w:r w:rsidR="003B62E2">
              <w:rPr>
                <w:sz w:val="20"/>
                <w:szCs w:val="20"/>
              </w:rPr>
              <w:t>,00</w:t>
            </w:r>
          </w:p>
        </w:tc>
      </w:tr>
      <w:tr w:rsidR="00094FA5" w:rsidRPr="000A0058" w:rsidTr="00E002B0">
        <w:tc>
          <w:tcPr>
            <w:cnfStyle w:val="001000000000"/>
            <w:tcW w:w="2576" w:type="dxa"/>
          </w:tcPr>
          <w:p w:rsidR="00094FA5" w:rsidRDefault="00094FA5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094FA5" w:rsidRPr="00D4350F" w:rsidRDefault="00B0680F" w:rsidP="00D62F6D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9041E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9041EC">
              <w:rPr>
                <w:b/>
                <w:noProof/>
                <w:sz w:val="20"/>
                <w:szCs w:val="20"/>
              </w:rPr>
              <w:t>5.500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9041EC">
              <w:rPr>
                <w:b/>
                <w:sz w:val="20"/>
                <w:szCs w:val="20"/>
              </w:rPr>
              <w:t>,00</w:t>
            </w:r>
          </w:p>
        </w:tc>
      </w:tr>
    </w:tbl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0B66" w:rsidRDefault="00EF7735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27500" cy="2345267"/>
            <wp:effectExtent l="19050" t="0" r="63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B66" w:rsidRDefault="00B00B66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 w:rsidR="008C5A64" w:rsidRPr="00235AED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="00107017" w:rsidRPr="00235AED">
        <w:rPr>
          <w:rFonts w:ascii="Times New Roman" w:hAnsi="Times New Roman"/>
          <w:sz w:val="20"/>
          <w:szCs w:val="20"/>
        </w:rPr>
        <w:t xml:space="preserve">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9041EC">
        <w:rPr>
          <w:rFonts w:ascii="Times New Roman" w:hAnsi="Times New Roman"/>
          <w:sz w:val="20"/>
          <w:szCs w:val="20"/>
        </w:rPr>
        <w:t>31</w:t>
      </w:r>
      <w:r w:rsidRPr="00235AED">
        <w:rPr>
          <w:rFonts w:ascii="Times New Roman" w:hAnsi="Times New Roman"/>
          <w:sz w:val="20"/>
          <w:szCs w:val="20"/>
        </w:rPr>
        <w:t>.0</w:t>
      </w:r>
      <w:r w:rsidR="009041EC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3B62E2" w:rsidRDefault="003B62E2" w:rsidP="00B00B66">
      <w:pPr>
        <w:widowControl/>
        <w:rPr>
          <w:b/>
          <w:i/>
          <w:szCs w:val="24"/>
        </w:rPr>
      </w:pPr>
    </w:p>
    <w:p w:rsidR="003B62E2" w:rsidRDefault="003B62E2" w:rsidP="00B00B66">
      <w:pPr>
        <w:widowControl/>
        <w:rPr>
          <w:b/>
          <w:i/>
          <w:szCs w:val="24"/>
        </w:rPr>
      </w:pPr>
    </w:p>
    <w:p w:rsidR="00B00B66" w:rsidRPr="00261415" w:rsidRDefault="00B00B66" w:rsidP="00B00B66">
      <w:pPr>
        <w:widowControl/>
        <w:rPr>
          <w:b/>
          <w:i/>
          <w:szCs w:val="24"/>
        </w:rPr>
      </w:pPr>
      <w:r w:rsidRPr="00261415">
        <w:rPr>
          <w:b/>
          <w:i/>
          <w:szCs w:val="24"/>
        </w:rPr>
        <w:t>I</w:t>
      </w:r>
      <w:r w:rsidR="008C5A64">
        <w:rPr>
          <w:b/>
          <w:i/>
          <w:szCs w:val="24"/>
        </w:rPr>
        <w:t>I</w:t>
      </w:r>
      <w:r w:rsidRPr="00261415">
        <w:rPr>
          <w:b/>
          <w:i/>
          <w:szCs w:val="24"/>
        </w:rPr>
        <w:t>I</w:t>
      </w:r>
      <w:r w:rsidRPr="00261415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ZAMJENIKA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Pr="00CB6647" w:rsidRDefault="00B00B66" w:rsidP="00B00B66">
      <w:pPr>
        <w:widowControl/>
        <w:rPr>
          <w:sz w:val="20"/>
          <w:szCs w:val="20"/>
        </w:rPr>
      </w:pPr>
    </w:p>
    <w:p w:rsidR="002D5EA0" w:rsidRDefault="002D5EA0" w:rsidP="002D5EA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 xml:space="preserve">Vlade“ u </w:t>
      </w:r>
      <w:r>
        <w:rPr>
          <w:szCs w:val="24"/>
        </w:rPr>
        <w:t>razdoblju 01.01.-</w:t>
      </w:r>
      <w:r w:rsidR="009041EC">
        <w:rPr>
          <w:szCs w:val="24"/>
        </w:rPr>
        <w:t>31</w:t>
      </w:r>
      <w:r>
        <w:rPr>
          <w:szCs w:val="24"/>
        </w:rPr>
        <w:t>.0</w:t>
      </w:r>
      <w:r w:rsidR="009041EC">
        <w:rPr>
          <w:szCs w:val="24"/>
        </w:rPr>
        <w:t>3</w:t>
      </w:r>
      <w:r>
        <w:rPr>
          <w:szCs w:val="24"/>
        </w:rPr>
        <w:t>.20</w:t>
      </w:r>
      <w:r w:rsidR="009041EC">
        <w:rPr>
          <w:szCs w:val="24"/>
        </w:rPr>
        <w:t>20</w:t>
      </w:r>
      <w:r>
        <w:rPr>
          <w:szCs w:val="24"/>
        </w:rPr>
        <w:t xml:space="preserve">. godine </w:t>
      </w:r>
      <w:r w:rsidRPr="003D4718">
        <w:rPr>
          <w:szCs w:val="24"/>
        </w:rPr>
        <w:t xml:space="preserve">utrošeno je </w:t>
      </w:r>
      <w:r w:rsidR="009041EC">
        <w:rPr>
          <w:szCs w:val="24"/>
        </w:rPr>
        <w:t>3.400</w:t>
      </w:r>
      <w:r w:rsidRPr="003D4718">
        <w:rPr>
          <w:szCs w:val="24"/>
        </w:rPr>
        <w:t xml:space="preserve"> KM ili </w:t>
      </w:r>
      <w:r w:rsidR="009041EC">
        <w:rPr>
          <w:szCs w:val="24"/>
        </w:rPr>
        <w:t>22,67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2D5EA0" w:rsidRDefault="002D5EA0" w:rsidP="002D5EA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128"/>
        <w:gridCol w:w="3137"/>
        <w:gridCol w:w="1363"/>
      </w:tblGrid>
      <w:tr w:rsidR="002D5EA0" w:rsidRPr="000A0058" w:rsidTr="004F7EE1">
        <w:trPr>
          <w:cnfStyle w:val="100000000000"/>
        </w:trPr>
        <w:tc>
          <w:tcPr>
            <w:cnfStyle w:val="001000000100"/>
            <w:tcW w:w="2660" w:type="dxa"/>
          </w:tcPr>
          <w:p w:rsidR="002D5EA0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2D5EA0" w:rsidRPr="000A0058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2D5EA0" w:rsidRPr="000A0058" w:rsidTr="004F7EE1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2D5EA0" w:rsidRDefault="009041EC" w:rsidP="0069599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="002D5EA0" w:rsidRPr="000A0058">
              <w:rPr>
                <w:color w:val="auto"/>
                <w:sz w:val="20"/>
                <w:szCs w:val="20"/>
              </w:rPr>
              <w:t>i</w:t>
            </w:r>
          </w:p>
          <w:p w:rsidR="002D5EA0" w:rsidRPr="000A0058" w:rsidRDefault="002D5EA0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2D5EA0" w:rsidRPr="000A0058" w:rsidRDefault="002D5EA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2D5EA0" w:rsidRPr="000A0058" w:rsidRDefault="002D5EA0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 w:rsidR="009041EC">
              <w:rPr>
                <w:color w:val="auto"/>
                <w:sz w:val="20"/>
                <w:szCs w:val="20"/>
              </w:rPr>
              <w:t>socijalne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363" w:type="dxa"/>
            <w:vAlign w:val="center"/>
          </w:tcPr>
          <w:p w:rsidR="002D5EA0" w:rsidRPr="000A0058" w:rsidRDefault="009041EC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2.500,00</w:t>
            </w:r>
          </w:p>
        </w:tc>
      </w:tr>
      <w:tr w:rsidR="009041EC" w:rsidRPr="000A0058" w:rsidTr="00AB0F44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9041EC" w:rsidRDefault="009041EC" w:rsidP="00AB0F4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Pr="000A0058">
              <w:rPr>
                <w:color w:val="auto"/>
                <w:sz w:val="20"/>
                <w:szCs w:val="20"/>
              </w:rPr>
              <w:t>i</w:t>
            </w:r>
          </w:p>
          <w:p w:rsidR="009041EC" w:rsidRPr="000A0058" w:rsidRDefault="009041EC" w:rsidP="00AB0F44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9041EC" w:rsidRPr="000A0058" w:rsidRDefault="009041EC" w:rsidP="00AB0F4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9041EC" w:rsidRPr="000A0058" w:rsidRDefault="009041EC" w:rsidP="00AB0F44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63" w:type="dxa"/>
            <w:vAlign w:val="center"/>
          </w:tcPr>
          <w:p w:rsidR="009041EC" w:rsidRPr="000A0058" w:rsidRDefault="009041EC" w:rsidP="00AB0F44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900,00</w:t>
            </w:r>
          </w:p>
        </w:tc>
      </w:tr>
      <w:tr w:rsidR="002D5EA0" w:rsidRPr="000A0058" w:rsidTr="004F7EE1">
        <w:trPr>
          <w:cnfStyle w:val="000000100000"/>
        </w:trPr>
        <w:tc>
          <w:tcPr>
            <w:cnfStyle w:val="001000000000"/>
            <w:tcW w:w="2660" w:type="dxa"/>
          </w:tcPr>
          <w:p w:rsidR="002D5EA0" w:rsidRDefault="002D5EA0" w:rsidP="006959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jc w:val="both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2D5EA0" w:rsidRPr="00D4350F" w:rsidRDefault="00B0680F" w:rsidP="0069599A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9041E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9041EC">
              <w:rPr>
                <w:b/>
                <w:noProof/>
                <w:sz w:val="20"/>
                <w:szCs w:val="20"/>
              </w:rPr>
              <w:t>3.400</w:t>
            </w:r>
            <w:r>
              <w:rPr>
                <w:b/>
                <w:sz w:val="20"/>
                <w:szCs w:val="20"/>
              </w:rPr>
              <w:fldChar w:fldCharType="end"/>
            </w:r>
            <w:r w:rsidR="009041EC">
              <w:rPr>
                <w:b/>
                <w:sz w:val="20"/>
                <w:szCs w:val="20"/>
              </w:rPr>
              <w:t>,00</w:t>
            </w:r>
          </w:p>
        </w:tc>
      </w:tr>
    </w:tbl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155017" cy="2112434"/>
            <wp:effectExtent l="1905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4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zamjenika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9041EC">
        <w:rPr>
          <w:rFonts w:ascii="Times New Roman" w:hAnsi="Times New Roman"/>
          <w:sz w:val="20"/>
          <w:szCs w:val="20"/>
        </w:rPr>
        <w:t>31</w:t>
      </w:r>
      <w:r w:rsidRPr="00235AED">
        <w:rPr>
          <w:rFonts w:ascii="Times New Roman" w:hAnsi="Times New Roman"/>
          <w:sz w:val="20"/>
          <w:szCs w:val="20"/>
        </w:rPr>
        <w:t>.0</w:t>
      </w:r>
      <w:r w:rsidR="009041EC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8155D3" w:rsidRDefault="008155D3" w:rsidP="008C5A64">
      <w:pPr>
        <w:jc w:val="both"/>
        <w:rPr>
          <w:b/>
          <w:i/>
          <w:szCs w:val="24"/>
        </w:rPr>
      </w:pPr>
    </w:p>
    <w:p w:rsidR="008155D3" w:rsidRDefault="008155D3" w:rsidP="008C5A64">
      <w:pPr>
        <w:jc w:val="both"/>
        <w:rPr>
          <w:b/>
          <w:i/>
          <w:szCs w:val="24"/>
        </w:rPr>
      </w:pPr>
    </w:p>
    <w:p w:rsidR="008155D3" w:rsidRDefault="008155D3" w:rsidP="008C5A64">
      <w:pPr>
        <w:jc w:val="both"/>
        <w:rPr>
          <w:b/>
          <w:i/>
          <w:szCs w:val="24"/>
        </w:rPr>
      </w:pPr>
    </w:p>
    <w:p w:rsidR="008C5A64" w:rsidRPr="000648BD" w:rsidRDefault="008C5A64" w:rsidP="008C5A6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8C5A64" w:rsidRDefault="008C5A64" w:rsidP="008C5A64">
      <w:pPr>
        <w:widowControl/>
        <w:rPr>
          <w:sz w:val="20"/>
          <w:szCs w:val="20"/>
        </w:rPr>
      </w:pPr>
    </w:p>
    <w:p w:rsidR="00D77417" w:rsidRPr="004372EB" w:rsidRDefault="00D77417" w:rsidP="008C5A64">
      <w:pPr>
        <w:widowControl/>
        <w:rPr>
          <w:sz w:val="20"/>
          <w:szCs w:val="20"/>
        </w:rPr>
      </w:pPr>
    </w:p>
    <w:p w:rsidR="008C5A64" w:rsidRDefault="008C5A64" w:rsidP="008C5A64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>“ u razdoblju 01.01.-</w:t>
      </w:r>
      <w:r w:rsidR="009041EC">
        <w:rPr>
          <w:szCs w:val="24"/>
        </w:rPr>
        <w:t>31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9041EC">
        <w:rPr>
          <w:szCs w:val="24"/>
        </w:rPr>
        <w:t>3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9041EC">
        <w:rPr>
          <w:szCs w:val="24"/>
        </w:rPr>
        <w:t>300</w:t>
      </w:r>
      <w:r w:rsidRPr="003D4718">
        <w:rPr>
          <w:szCs w:val="24"/>
        </w:rPr>
        <w:t xml:space="preserve"> KM ili </w:t>
      </w:r>
      <w:r w:rsidR="009041EC">
        <w:rPr>
          <w:szCs w:val="24"/>
        </w:rPr>
        <w:t>2,00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22FAD" w:rsidRDefault="00922FAD" w:rsidP="008C5A64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8C5A64" w:rsidRPr="000A0058" w:rsidTr="00E76E1F">
        <w:trPr>
          <w:cnfStyle w:val="100000000000"/>
        </w:trPr>
        <w:tc>
          <w:tcPr>
            <w:cnfStyle w:val="001000000100"/>
            <w:tcW w:w="2812" w:type="dxa"/>
          </w:tcPr>
          <w:p w:rsidR="008C5A64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8C5A64" w:rsidRPr="000A0058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7D7103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7D7103" w:rsidRDefault="009041EC" w:rsidP="000575F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zdravstva</w:t>
            </w:r>
            <w:r w:rsidR="007D7103" w:rsidRPr="000A0058">
              <w:rPr>
                <w:color w:val="auto"/>
                <w:sz w:val="20"/>
                <w:szCs w:val="20"/>
              </w:rPr>
              <w:t xml:space="preserve"> i</w:t>
            </w:r>
          </w:p>
          <w:p w:rsidR="007D7103" w:rsidRPr="000A0058" w:rsidRDefault="007D7103" w:rsidP="000575F5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7D7103" w:rsidRPr="000A0058" w:rsidRDefault="007D7103" w:rsidP="000575F5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7D7103" w:rsidRPr="000A0058" w:rsidRDefault="007D7103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27" w:type="dxa"/>
            <w:gridSpan w:val="2"/>
            <w:vAlign w:val="center"/>
          </w:tcPr>
          <w:p w:rsidR="007D7103" w:rsidRPr="000A0058" w:rsidRDefault="009041EC" w:rsidP="00E76E1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300,00</w:t>
            </w:r>
          </w:p>
        </w:tc>
      </w:tr>
      <w:tr w:rsidR="00922FAD" w:rsidRPr="000A0058" w:rsidTr="00E76E1F">
        <w:tc>
          <w:tcPr>
            <w:cnfStyle w:val="001000000000"/>
            <w:tcW w:w="2812" w:type="dxa"/>
          </w:tcPr>
          <w:p w:rsidR="00922FAD" w:rsidRDefault="00922FAD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3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922FAD" w:rsidRPr="00D4350F" w:rsidRDefault="009041EC" w:rsidP="008C5A64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</w:tr>
    </w:tbl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7953" cy="2125134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68E7" w:rsidRDefault="002068E7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46434"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 w:rsidR="00102F4D"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>u razdoblju 01.01.-</w:t>
      </w:r>
      <w:r w:rsidR="009041EC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.0</w:t>
      </w:r>
      <w:r w:rsidR="009041E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g.</w:t>
      </w:r>
    </w:p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D7103" w:rsidRDefault="007D7103" w:rsidP="00DF7334">
      <w:pPr>
        <w:jc w:val="right"/>
        <w:rPr>
          <w:szCs w:val="24"/>
        </w:rPr>
      </w:pPr>
    </w:p>
    <w:p w:rsidR="00102F4D" w:rsidRDefault="00102F4D" w:rsidP="00DF7334">
      <w:pPr>
        <w:jc w:val="right"/>
        <w:rPr>
          <w:szCs w:val="24"/>
        </w:rPr>
      </w:pPr>
    </w:p>
    <w:p w:rsidR="00DF7334" w:rsidRDefault="00DF7334" w:rsidP="00DF7334">
      <w:pPr>
        <w:jc w:val="right"/>
        <w:rPr>
          <w:szCs w:val="24"/>
        </w:rPr>
      </w:pPr>
      <w:r>
        <w:rPr>
          <w:szCs w:val="24"/>
        </w:rPr>
        <w:t>MINISTARSTVO FINANCIJA</w:t>
      </w:r>
      <w:r w:rsidR="009041EC">
        <w:rPr>
          <w:szCs w:val="24"/>
        </w:rPr>
        <w:t xml:space="preserve"> ŽUPANIJE POSAVSKE</w:t>
      </w:r>
    </w:p>
    <w:p w:rsidR="00AF755D" w:rsidRDefault="00AF755D" w:rsidP="00DF7334">
      <w:pPr>
        <w:rPr>
          <w:szCs w:val="24"/>
        </w:rPr>
      </w:pPr>
    </w:p>
    <w:p w:rsidR="00AF755D" w:rsidRDefault="00AF755D" w:rsidP="00DF7334">
      <w:pPr>
        <w:rPr>
          <w:szCs w:val="24"/>
        </w:rPr>
      </w:pPr>
    </w:p>
    <w:p w:rsidR="00D74657" w:rsidRDefault="00DF7334" w:rsidP="008C5A64">
      <w:pPr>
        <w:rPr>
          <w:szCs w:val="24"/>
        </w:rPr>
      </w:pPr>
      <w:r>
        <w:rPr>
          <w:szCs w:val="24"/>
        </w:rPr>
        <w:t xml:space="preserve">Orašje, </w:t>
      </w:r>
      <w:r w:rsidR="009041EC">
        <w:rPr>
          <w:szCs w:val="24"/>
        </w:rPr>
        <w:t>svibanj</w:t>
      </w:r>
      <w:r>
        <w:rPr>
          <w:szCs w:val="24"/>
        </w:rPr>
        <w:t xml:space="preserve"> 20</w:t>
      </w:r>
      <w:r w:rsidR="009041EC">
        <w:rPr>
          <w:szCs w:val="24"/>
        </w:rPr>
        <w:t>20</w:t>
      </w:r>
      <w:r>
        <w:rPr>
          <w:szCs w:val="24"/>
        </w:rPr>
        <w:t xml:space="preserve">.godine </w:t>
      </w:r>
    </w:p>
    <w:sectPr w:rsidR="00D74657" w:rsidSect="004D64DA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60" w:rsidRDefault="00382760" w:rsidP="004D64DA">
      <w:r>
        <w:separator/>
      </w:r>
    </w:p>
  </w:endnote>
  <w:endnote w:type="continuationSeparator" w:id="0">
    <w:p w:rsidR="00382760" w:rsidRDefault="00382760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126FE0" w:rsidRDefault="00B0680F">
        <w:pPr>
          <w:pStyle w:val="Podnoje"/>
          <w:jc w:val="right"/>
        </w:pPr>
        <w:fldSimple w:instr="PAGE   \* MERGEFORMAT">
          <w:r w:rsidR="008C0703">
            <w:rPr>
              <w:noProof/>
            </w:rPr>
            <w:t>6</w:t>
          </w:r>
        </w:fldSimple>
      </w:p>
    </w:sdtContent>
  </w:sdt>
  <w:p w:rsidR="00126FE0" w:rsidRDefault="00126F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60" w:rsidRDefault="00382760" w:rsidP="004D64DA">
      <w:r>
        <w:separator/>
      </w:r>
    </w:p>
  </w:footnote>
  <w:footnote w:type="continuationSeparator" w:id="0">
    <w:p w:rsidR="00382760" w:rsidRDefault="00382760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554E5"/>
    <w:rsid w:val="000575F5"/>
    <w:rsid w:val="000764D3"/>
    <w:rsid w:val="00083D68"/>
    <w:rsid w:val="00094FA5"/>
    <w:rsid w:val="000B1A16"/>
    <w:rsid w:val="000B48BD"/>
    <w:rsid w:val="000D5A09"/>
    <w:rsid w:val="000D6D22"/>
    <w:rsid w:val="00102D13"/>
    <w:rsid w:val="00102F4D"/>
    <w:rsid w:val="00103742"/>
    <w:rsid w:val="00105652"/>
    <w:rsid w:val="00107017"/>
    <w:rsid w:val="00122980"/>
    <w:rsid w:val="00126FE0"/>
    <w:rsid w:val="0013371F"/>
    <w:rsid w:val="00136AE9"/>
    <w:rsid w:val="00162A54"/>
    <w:rsid w:val="0017230A"/>
    <w:rsid w:val="001A7D11"/>
    <w:rsid w:val="001B59D9"/>
    <w:rsid w:val="001B62D2"/>
    <w:rsid w:val="001B75E9"/>
    <w:rsid w:val="001E23B9"/>
    <w:rsid w:val="001E6EBD"/>
    <w:rsid w:val="001F56D2"/>
    <w:rsid w:val="001F57C3"/>
    <w:rsid w:val="002039BF"/>
    <w:rsid w:val="002068E7"/>
    <w:rsid w:val="00206C1C"/>
    <w:rsid w:val="00235AED"/>
    <w:rsid w:val="00242A6E"/>
    <w:rsid w:val="00261415"/>
    <w:rsid w:val="0026587A"/>
    <w:rsid w:val="0028697D"/>
    <w:rsid w:val="0029051E"/>
    <w:rsid w:val="002944B3"/>
    <w:rsid w:val="002A4EF4"/>
    <w:rsid w:val="002B23E8"/>
    <w:rsid w:val="002C0A77"/>
    <w:rsid w:val="002C5250"/>
    <w:rsid w:val="002C6681"/>
    <w:rsid w:val="002D5EA0"/>
    <w:rsid w:val="003028DB"/>
    <w:rsid w:val="00337C80"/>
    <w:rsid w:val="00361986"/>
    <w:rsid w:val="00362F88"/>
    <w:rsid w:val="003716F4"/>
    <w:rsid w:val="00381461"/>
    <w:rsid w:val="00382760"/>
    <w:rsid w:val="003A0F58"/>
    <w:rsid w:val="003A7FF9"/>
    <w:rsid w:val="003B62E2"/>
    <w:rsid w:val="003F6700"/>
    <w:rsid w:val="0040303D"/>
    <w:rsid w:val="004153F6"/>
    <w:rsid w:val="004372EB"/>
    <w:rsid w:val="00472AAE"/>
    <w:rsid w:val="00477693"/>
    <w:rsid w:val="004B425F"/>
    <w:rsid w:val="004C0C34"/>
    <w:rsid w:val="004C0E8D"/>
    <w:rsid w:val="004D64DA"/>
    <w:rsid w:val="004E197B"/>
    <w:rsid w:val="004F7EE1"/>
    <w:rsid w:val="00504EE0"/>
    <w:rsid w:val="00526BE5"/>
    <w:rsid w:val="005324CF"/>
    <w:rsid w:val="005423C1"/>
    <w:rsid w:val="005460F5"/>
    <w:rsid w:val="00555308"/>
    <w:rsid w:val="0055722C"/>
    <w:rsid w:val="00562AF9"/>
    <w:rsid w:val="00564775"/>
    <w:rsid w:val="00572577"/>
    <w:rsid w:val="005873DD"/>
    <w:rsid w:val="005A3C27"/>
    <w:rsid w:val="005D6758"/>
    <w:rsid w:val="005E247D"/>
    <w:rsid w:val="005F2318"/>
    <w:rsid w:val="0060772D"/>
    <w:rsid w:val="00607C39"/>
    <w:rsid w:val="00610CBD"/>
    <w:rsid w:val="00613FE9"/>
    <w:rsid w:val="006247ED"/>
    <w:rsid w:val="00625BE3"/>
    <w:rsid w:val="006459D4"/>
    <w:rsid w:val="00663135"/>
    <w:rsid w:val="006633C9"/>
    <w:rsid w:val="006758C0"/>
    <w:rsid w:val="00691E17"/>
    <w:rsid w:val="0069599A"/>
    <w:rsid w:val="006978D7"/>
    <w:rsid w:val="006B633D"/>
    <w:rsid w:val="006C63E4"/>
    <w:rsid w:val="006D779F"/>
    <w:rsid w:val="006F0B82"/>
    <w:rsid w:val="007132D0"/>
    <w:rsid w:val="0072409D"/>
    <w:rsid w:val="007249E3"/>
    <w:rsid w:val="0075452E"/>
    <w:rsid w:val="00761BF8"/>
    <w:rsid w:val="00786AC5"/>
    <w:rsid w:val="00787BAC"/>
    <w:rsid w:val="00793F1D"/>
    <w:rsid w:val="007A0160"/>
    <w:rsid w:val="007D7103"/>
    <w:rsid w:val="008155D3"/>
    <w:rsid w:val="00822C6D"/>
    <w:rsid w:val="00826690"/>
    <w:rsid w:val="00846434"/>
    <w:rsid w:val="008568DC"/>
    <w:rsid w:val="00857012"/>
    <w:rsid w:val="00861ECF"/>
    <w:rsid w:val="00870C44"/>
    <w:rsid w:val="00874D5E"/>
    <w:rsid w:val="0089216B"/>
    <w:rsid w:val="008A61FB"/>
    <w:rsid w:val="008C0703"/>
    <w:rsid w:val="008C4008"/>
    <w:rsid w:val="008C5A64"/>
    <w:rsid w:val="008D5518"/>
    <w:rsid w:val="009041EC"/>
    <w:rsid w:val="00917164"/>
    <w:rsid w:val="00922FAD"/>
    <w:rsid w:val="009263F2"/>
    <w:rsid w:val="009568C4"/>
    <w:rsid w:val="00957683"/>
    <w:rsid w:val="00963997"/>
    <w:rsid w:val="00964C89"/>
    <w:rsid w:val="009717BC"/>
    <w:rsid w:val="00980A44"/>
    <w:rsid w:val="009B0C36"/>
    <w:rsid w:val="009F1F10"/>
    <w:rsid w:val="00A07FB6"/>
    <w:rsid w:val="00A11AE2"/>
    <w:rsid w:val="00A30CA5"/>
    <w:rsid w:val="00A42D1D"/>
    <w:rsid w:val="00A61C30"/>
    <w:rsid w:val="00A74976"/>
    <w:rsid w:val="00AC520A"/>
    <w:rsid w:val="00AF755D"/>
    <w:rsid w:val="00B00B66"/>
    <w:rsid w:val="00B0680F"/>
    <w:rsid w:val="00B12954"/>
    <w:rsid w:val="00B334F7"/>
    <w:rsid w:val="00B41DFA"/>
    <w:rsid w:val="00B4525B"/>
    <w:rsid w:val="00B65151"/>
    <w:rsid w:val="00B80B7A"/>
    <w:rsid w:val="00B87090"/>
    <w:rsid w:val="00BA127E"/>
    <w:rsid w:val="00BA1DBD"/>
    <w:rsid w:val="00BA3020"/>
    <w:rsid w:val="00BA3FFC"/>
    <w:rsid w:val="00BB37A9"/>
    <w:rsid w:val="00C04224"/>
    <w:rsid w:val="00C13C10"/>
    <w:rsid w:val="00C17C3C"/>
    <w:rsid w:val="00C33FC3"/>
    <w:rsid w:val="00C53651"/>
    <w:rsid w:val="00C57614"/>
    <w:rsid w:val="00C84C95"/>
    <w:rsid w:val="00C95BBE"/>
    <w:rsid w:val="00CF428A"/>
    <w:rsid w:val="00D00BBA"/>
    <w:rsid w:val="00D00BBD"/>
    <w:rsid w:val="00D07FDB"/>
    <w:rsid w:val="00D166DC"/>
    <w:rsid w:val="00D20764"/>
    <w:rsid w:val="00D42B84"/>
    <w:rsid w:val="00D4643C"/>
    <w:rsid w:val="00D51C34"/>
    <w:rsid w:val="00D5227A"/>
    <w:rsid w:val="00D55D05"/>
    <w:rsid w:val="00D62F6D"/>
    <w:rsid w:val="00D74657"/>
    <w:rsid w:val="00D77417"/>
    <w:rsid w:val="00D81E77"/>
    <w:rsid w:val="00D97CB3"/>
    <w:rsid w:val="00DB5D3A"/>
    <w:rsid w:val="00DC0887"/>
    <w:rsid w:val="00DC35F1"/>
    <w:rsid w:val="00DF7334"/>
    <w:rsid w:val="00E002B0"/>
    <w:rsid w:val="00E45E22"/>
    <w:rsid w:val="00E46926"/>
    <w:rsid w:val="00E54F62"/>
    <w:rsid w:val="00E72260"/>
    <w:rsid w:val="00E73599"/>
    <w:rsid w:val="00E76E1F"/>
    <w:rsid w:val="00E85693"/>
    <w:rsid w:val="00EC7265"/>
    <w:rsid w:val="00EF1688"/>
    <w:rsid w:val="00EF2C26"/>
    <w:rsid w:val="00EF7735"/>
    <w:rsid w:val="00F27E16"/>
    <w:rsid w:val="00F34AF3"/>
    <w:rsid w:val="00F35E7C"/>
    <w:rsid w:val="00F36F2F"/>
    <w:rsid w:val="00F51BFD"/>
    <w:rsid w:val="00F52709"/>
    <w:rsid w:val="00FD3285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ije.zp@tel.net.ba" TargetMode="Externa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8.3073824782665534E-2"/>
          <c:y val="0.17410714285714488"/>
          <c:w val="0.77213035537242869"/>
          <c:h val="0.73660714285714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explosion val="59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14574051119790293"/>
                  <c:y val="-0.27345226377952936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303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6.538990619737893E-2"/>
                  <c:y val="1.1160714285714463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122"/>
                  <c:y val="0.1975446428571450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ministra financija</c:v>
                </c:pt>
                <c:pt idx="3">
                  <c:v>Tekuća pričuva zamjenika preds.Vlade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0.94370000000000032</c:v>
                </c:pt>
                <c:pt idx="1">
                  <c:v>3.3700000000000001E-2</c:v>
                </c:pt>
                <c:pt idx="2">
                  <c:v>1.8000000000000013E-3</c:v>
                </c:pt>
                <c:pt idx="3">
                  <c:v>2.0799999999999999E-2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4.4407438245906899E-2"/>
                  <c:y val="4.778972520908011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anose="020F0502020204030204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4.8109309865678546E-2"/>
                  <c:y val="4.150530226360663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1446039833256275E-2"/>
                  <c:y val="-8.3753011643630006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5.9846430960836083E-2"/>
                  <c:y val="2.6558929650744591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6733384797488546"/>
                  <c:y val="-0.12298431623201997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8804405331686488"/>
                  <c:y val="-3.2146361787483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0.11059832226854006"/>
                  <c:y val="-7.105323914363243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9870104472235098E-2"/>
                  <c:y val="-0.10071076627306616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25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2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551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Sveučilište u Mostaru</c:v>
                </c:pt>
                <c:pt idx="1">
                  <c:v>Sportski klubovi i društva</c:v>
                </c:pt>
                <c:pt idx="2">
                  <c:v>Institucije i udruge - prijem vježbenika</c:v>
                </c:pt>
                <c:pt idx="3">
                  <c:v>Zdravstvene institucije</c:v>
                </c:pt>
                <c:pt idx="4">
                  <c:v>Medijske institucije</c:v>
                </c:pt>
                <c:pt idx="5">
                  <c:v>Vjerske ustanove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9.7276264591439704E-2</c:v>
                </c:pt>
                <c:pt idx="1">
                  <c:v>0.18158236057068741</c:v>
                </c:pt>
                <c:pt idx="2">
                  <c:v>0.15369649805447488</c:v>
                </c:pt>
                <c:pt idx="3">
                  <c:v>0.38910505836575882</c:v>
                </c:pt>
                <c:pt idx="4">
                  <c:v>8.106355382619973E-2</c:v>
                </c:pt>
                <c:pt idx="5">
                  <c:v>9.7276264591439704E-2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711520290732894"/>
          <c:y val="0.14372734532997741"/>
          <c:w val="0.75500036341611165"/>
          <c:h val="0.7071301476548299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-4.6153846153846163E-2"/>
                  <c:y val="0.2669772780668471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6.1538461538461573E-3"/>
                  <c:y val="-0.1679156360448512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1.8619261053906724E-2"/>
                  <c:y val="-2.166107313154537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8.7442348929830965E-2"/>
                  <c:y val="3.549929335756098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2.4783722890115756E-2"/>
                  <c:y val="-0.158768826973551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5.8039108770351769E-3"/>
                  <c:y val="-3.987966888754294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List1!$A$2:$A$4</c:f>
              <c:strCache>
                <c:ptCount val="3"/>
                <c:pt idx="0">
                  <c:v>Sportski klubovi i društva</c:v>
                </c:pt>
                <c:pt idx="1">
                  <c:v>Niže razine vlasti</c:v>
                </c:pt>
                <c:pt idx="2">
                  <c:v>Fizičke osobe (socijala)</c:v>
                </c:pt>
              </c:strCache>
            </c:strRef>
          </c:cat>
          <c:val>
            <c:numRef>
              <c:f>List1!$B$2:$B$4</c:f>
              <c:numCache>
                <c:formatCode>0.00%</c:formatCode>
                <c:ptCount val="3"/>
                <c:pt idx="0">
                  <c:v>0.58181818181818157</c:v>
                </c:pt>
                <c:pt idx="1">
                  <c:v>0.36363636363636381</c:v>
                </c:pt>
                <c:pt idx="2">
                  <c:v>5.4545454545454522E-2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4.0772396358426645E-2"/>
          <c:y val="0.19224458610304521"/>
          <c:w val="0.91949250749154576"/>
          <c:h val="0.7760914660529053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12197567422708507"/>
                  <c:y val="-0.28256504108530728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7483617997230841"/>
                  <c:y val="-4.0200072522975855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7.7358287583420351E-2"/>
                  <c:y val="5.302319504420018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411566970775824E-2"/>
                  <c:y val="-3.176425335106985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Calibri" pitchFamily="34" charset="0"/>
                      </a:defRPr>
                    </a:pPr>
                    <a:r>
                      <a:rPr lang="vi-VN">
                        <a:latin typeface="Calibri" pitchFamily="34" charset="0"/>
                      </a:rPr>
                      <a:t>Neprof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-9.0508625201951511E-4"/>
                  <c:y val="-0.2341918863557577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096751348273482E-7"/>
                  <c:y val="-5.699366047639683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5.8157939720869861E-3"/>
                  <c:y val="-2.912707768451946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Fizičke osobe (socijala)</c:v>
                </c:pt>
                <c:pt idx="1">
                  <c:v>Fizičke osobe (zdravstvo)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0.73529411764705921</c:v>
                </c:pt>
                <c:pt idx="1">
                  <c:v>0.2647058823529414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3287903967831257E-4"/>
          <c:y val="5.1756736281100514E-3"/>
          <c:w val="0.93570116350275578"/>
          <c:h val="0.85944610371979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0.13738494896808637"/>
                  <c:y val="0.2330676559689883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4714093764287343"/>
                  <c:y val="0.1075696873703024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0"/>
                  <c:y val="-0.3227090621109075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1.4537473274094296E-2"/>
                  <c:y val="-1.58559413194650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3.5136824961257598E-2"/>
                  <c:y val="2.98804687139728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7.6556112210914351E-2"/>
                  <c:y val="-4.243967674508999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9.9234126374528567E-2"/>
                  <c:y val="2.267951103318661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</c:f>
              <c:strCache>
                <c:ptCount val="1"/>
                <c:pt idx="0">
                  <c:v>Fizičke osobe (zdravstvo)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2</cp:revision>
  <cp:lastPrinted>2015-08-05T11:14:00Z</cp:lastPrinted>
  <dcterms:created xsi:type="dcterms:W3CDTF">2020-05-05T11:16:00Z</dcterms:created>
  <dcterms:modified xsi:type="dcterms:W3CDTF">2020-05-05T11:16:00Z</dcterms:modified>
</cp:coreProperties>
</file>