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E5" w:rsidRPr="00C84C95" w:rsidRDefault="00C84C95" w:rsidP="00C84C95">
      <w:pPr>
        <w:jc w:val="center"/>
        <w:rPr>
          <w:b/>
        </w:rPr>
      </w:pPr>
      <w:r w:rsidRPr="00C84C95">
        <w:rPr>
          <w:b/>
        </w:rPr>
        <w:t>BOSNA I HERCEGOVINA</w:t>
      </w:r>
    </w:p>
    <w:p w:rsidR="00C84C95" w:rsidRPr="00C84C95" w:rsidRDefault="00C84C95" w:rsidP="00C84C95">
      <w:pPr>
        <w:jc w:val="center"/>
        <w:rPr>
          <w:b/>
        </w:rPr>
      </w:pPr>
      <w:r w:rsidRPr="00C84C95">
        <w:rPr>
          <w:b/>
        </w:rPr>
        <w:t>FEDERACIJA BOSNE I HERCEGOVINE</w:t>
      </w:r>
    </w:p>
    <w:p w:rsidR="00C84C95" w:rsidRPr="00C84C95" w:rsidRDefault="00C84C95" w:rsidP="00C84C95">
      <w:pPr>
        <w:jc w:val="center"/>
        <w:rPr>
          <w:b/>
        </w:rPr>
      </w:pPr>
      <w:r w:rsidRPr="00C84C95">
        <w:rPr>
          <w:b/>
        </w:rPr>
        <w:t>ŽUPANIJA POSAVSKA</w:t>
      </w:r>
    </w:p>
    <w:p w:rsidR="00C84C95" w:rsidRPr="00C84C95" w:rsidRDefault="00C84C95" w:rsidP="00C84C95">
      <w:pPr>
        <w:jc w:val="center"/>
        <w:rPr>
          <w:b/>
        </w:rPr>
      </w:pPr>
      <w:r w:rsidRPr="00C84C95">
        <w:rPr>
          <w:b/>
        </w:rPr>
        <w:t>VLADA</w:t>
      </w: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Pr="00C84C95" w:rsidRDefault="00C84C95" w:rsidP="00C84C95">
      <w:pPr>
        <w:jc w:val="center"/>
        <w:rPr>
          <w:b/>
          <w:sz w:val="32"/>
          <w:szCs w:val="32"/>
        </w:rPr>
      </w:pPr>
      <w:r w:rsidRPr="00C84C95">
        <w:rPr>
          <w:b/>
          <w:sz w:val="32"/>
          <w:szCs w:val="32"/>
        </w:rPr>
        <w:t>I Z V J E Š Ć E</w:t>
      </w:r>
    </w:p>
    <w:p w:rsidR="00C84C95" w:rsidRDefault="00C84C95" w:rsidP="00C84C95">
      <w:pPr>
        <w:jc w:val="center"/>
      </w:pPr>
    </w:p>
    <w:p w:rsidR="00C84C95" w:rsidRPr="00C84C95" w:rsidRDefault="00C84C95" w:rsidP="00C84C95">
      <w:pPr>
        <w:jc w:val="center"/>
        <w:rPr>
          <w:b/>
          <w:sz w:val="28"/>
          <w:szCs w:val="28"/>
        </w:rPr>
      </w:pPr>
      <w:r w:rsidRPr="00C84C95">
        <w:rPr>
          <w:b/>
          <w:sz w:val="28"/>
          <w:szCs w:val="28"/>
        </w:rPr>
        <w:t>o izvrše</w:t>
      </w:r>
      <w:r w:rsidR="002159B2">
        <w:rPr>
          <w:b/>
          <w:sz w:val="28"/>
          <w:szCs w:val="28"/>
        </w:rPr>
        <w:t>nju Proračuna Županije Posavske</w:t>
      </w:r>
    </w:p>
    <w:p w:rsidR="00C84C95" w:rsidRPr="00C84C95" w:rsidRDefault="009B127F" w:rsidP="00C84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razdoblje od 01.01. do </w:t>
      </w:r>
      <w:r w:rsidR="00445B8B">
        <w:rPr>
          <w:b/>
          <w:sz w:val="28"/>
          <w:szCs w:val="28"/>
        </w:rPr>
        <w:t>3</w:t>
      </w:r>
      <w:r w:rsidR="007A59D0">
        <w:rPr>
          <w:b/>
          <w:sz w:val="28"/>
          <w:szCs w:val="28"/>
        </w:rPr>
        <w:t>0</w:t>
      </w:r>
      <w:r w:rsidR="00C84C95" w:rsidRPr="00C84C95">
        <w:rPr>
          <w:b/>
          <w:sz w:val="28"/>
          <w:szCs w:val="28"/>
        </w:rPr>
        <w:t>.0</w:t>
      </w:r>
      <w:r w:rsidR="00DE5791">
        <w:rPr>
          <w:b/>
          <w:sz w:val="28"/>
          <w:szCs w:val="28"/>
        </w:rPr>
        <w:t>9</w:t>
      </w:r>
      <w:r w:rsidR="00C84C95" w:rsidRPr="00C84C95">
        <w:rPr>
          <w:b/>
          <w:sz w:val="28"/>
          <w:szCs w:val="28"/>
        </w:rPr>
        <w:t>.20</w:t>
      </w:r>
      <w:r w:rsidR="00445B8B">
        <w:rPr>
          <w:b/>
          <w:sz w:val="28"/>
          <w:szCs w:val="28"/>
        </w:rPr>
        <w:t>20</w:t>
      </w:r>
      <w:r w:rsidR="00C84C95" w:rsidRPr="00C84C95">
        <w:rPr>
          <w:b/>
          <w:sz w:val="28"/>
          <w:szCs w:val="28"/>
        </w:rPr>
        <w:t>. godine</w:t>
      </w: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</w:p>
    <w:p w:rsidR="00C84C95" w:rsidRDefault="00C84C95" w:rsidP="00C84C95">
      <w:pPr>
        <w:jc w:val="center"/>
      </w:pPr>
      <w:r>
        <w:t xml:space="preserve">Orašje, </w:t>
      </w:r>
      <w:r w:rsidR="002230A6">
        <w:t>studeni</w:t>
      </w:r>
      <w:r>
        <w:t xml:space="preserve"> 20</w:t>
      </w:r>
      <w:r w:rsidR="00445B8B">
        <w:t>20</w:t>
      </w:r>
      <w:r>
        <w:t>. godine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851"/>
        <w:gridCol w:w="1477"/>
        <w:gridCol w:w="3960"/>
      </w:tblGrid>
      <w:tr w:rsidR="009554E4" w:rsidTr="00612567">
        <w:tc>
          <w:tcPr>
            <w:tcW w:w="3851" w:type="dxa"/>
            <w:vAlign w:val="center"/>
          </w:tcPr>
          <w:p w:rsidR="009554E4" w:rsidRPr="0038441A" w:rsidRDefault="009554E4" w:rsidP="00612567">
            <w:pPr>
              <w:pStyle w:val="Zaglavlje"/>
              <w:jc w:val="center"/>
            </w:pPr>
            <w:r w:rsidRPr="0038441A">
              <w:lastRenderedPageBreak/>
              <w:t>Bosna i Hercegovina</w:t>
            </w:r>
          </w:p>
          <w:p w:rsidR="009554E4" w:rsidRPr="0038441A" w:rsidRDefault="009554E4" w:rsidP="00612567">
            <w:pPr>
              <w:pStyle w:val="Zaglavlje"/>
              <w:jc w:val="center"/>
            </w:pPr>
            <w:r w:rsidRPr="0038441A">
              <w:t>Federacija Bosne i Hercegovine</w:t>
            </w:r>
          </w:p>
          <w:p w:rsidR="009554E4" w:rsidRPr="0038441A" w:rsidRDefault="009554E4" w:rsidP="00612567">
            <w:pPr>
              <w:pStyle w:val="Zaglavlje"/>
              <w:jc w:val="center"/>
            </w:pPr>
            <w:r w:rsidRPr="0038441A">
              <w:t>ŽUPANIJA POSAVSKA</w:t>
            </w:r>
          </w:p>
          <w:p w:rsidR="009554E4" w:rsidRDefault="009554E4" w:rsidP="00612567">
            <w:pPr>
              <w:pStyle w:val="Zaglavlje"/>
              <w:jc w:val="center"/>
            </w:pPr>
            <w:r w:rsidRPr="003878B3">
              <w:rPr>
                <w:b/>
              </w:rPr>
              <w:t>Ministarstvo financija</w:t>
            </w:r>
          </w:p>
        </w:tc>
        <w:tc>
          <w:tcPr>
            <w:tcW w:w="1477" w:type="dxa"/>
            <w:vAlign w:val="center"/>
          </w:tcPr>
          <w:p w:rsidR="009554E4" w:rsidRDefault="009554E4" w:rsidP="00612567">
            <w:pPr>
              <w:pStyle w:val="Zaglavlj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110" cy="824865"/>
                  <wp:effectExtent l="0" t="0" r="8890" b="0"/>
                  <wp:docPr id="1" name="Picture 1" descr="grb Županije Posavsk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Županije Posavsk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87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9554E4" w:rsidRPr="0038441A" w:rsidRDefault="009554E4" w:rsidP="00612567">
            <w:pPr>
              <w:pStyle w:val="Zaglavlje"/>
              <w:jc w:val="center"/>
            </w:pPr>
            <w:proofErr w:type="spellStart"/>
            <w:r w:rsidRPr="0038441A">
              <w:t>Bosn</w:t>
            </w:r>
            <w:r>
              <w:t>i</w:t>
            </w:r>
            <w:r w:rsidRPr="0038441A">
              <w:t>a</w:t>
            </w:r>
            <w:proofErr w:type="spellEnd"/>
            <w:r w:rsidRPr="0038441A">
              <w:t xml:space="preserve"> </w:t>
            </w:r>
            <w:proofErr w:type="spellStart"/>
            <w:r>
              <w:t>and</w:t>
            </w:r>
            <w:proofErr w:type="spellEnd"/>
            <w:r w:rsidRPr="0038441A">
              <w:t xml:space="preserve"> </w:t>
            </w:r>
            <w:proofErr w:type="spellStart"/>
            <w:r w:rsidRPr="0038441A">
              <w:t>Her</w:t>
            </w:r>
            <w:r>
              <w:t>z</w:t>
            </w:r>
            <w:r w:rsidRPr="0038441A">
              <w:t>egovina</w:t>
            </w:r>
            <w:proofErr w:type="spellEnd"/>
          </w:p>
          <w:p w:rsidR="009554E4" w:rsidRPr="0038441A" w:rsidRDefault="009554E4" w:rsidP="00612567">
            <w:pPr>
              <w:pStyle w:val="Zaglavlje"/>
              <w:jc w:val="center"/>
            </w:pPr>
            <w:proofErr w:type="spellStart"/>
            <w:r>
              <w:t>Federation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Bosnia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Herzegovina</w:t>
            </w:r>
            <w:proofErr w:type="spellEnd"/>
          </w:p>
          <w:p w:rsidR="009554E4" w:rsidRPr="0038441A" w:rsidRDefault="009554E4" w:rsidP="00612567">
            <w:pPr>
              <w:pStyle w:val="Zaglavlje"/>
              <w:jc w:val="center"/>
            </w:pPr>
            <w:r>
              <w:t>POSAVINA COUNTY</w:t>
            </w:r>
          </w:p>
          <w:p w:rsidR="009554E4" w:rsidRDefault="009554E4" w:rsidP="00612567">
            <w:pPr>
              <w:pStyle w:val="Zaglavlje"/>
              <w:jc w:val="center"/>
            </w:pPr>
            <w:proofErr w:type="spellStart"/>
            <w:r w:rsidRPr="003878B3">
              <w:rPr>
                <w:b/>
              </w:rPr>
              <w:t>Ministry</w:t>
            </w:r>
            <w:proofErr w:type="spellEnd"/>
            <w:r w:rsidRPr="003878B3">
              <w:rPr>
                <w:b/>
              </w:rPr>
              <w:t xml:space="preserve"> </w:t>
            </w:r>
            <w:proofErr w:type="spellStart"/>
            <w:r w:rsidRPr="003878B3">
              <w:rPr>
                <w:b/>
              </w:rPr>
              <w:t>of</w:t>
            </w:r>
            <w:proofErr w:type="spellEnd"/>
            <w:r w:rsidRPr="003878B3">
              <w:rPr>
                <w:b/>
              </w:rPr>
              <w:t xml:space="preserve"> </w:t>
            </w:r>
            <w:proofErr w:type="spellStart"/>
            <w:r w:rsidRPr="003878B3">
              <w:rPr>
                <w:b/>
              </w:rPr>
              <w:t>finance</w:t>
            </w:r>
            <w:proofErr w:type="spellEnd"/>
          </w:p>
        </w:tc>
      </w:tr>
    </w:tbl>
    <w:p w:rsidR="009554E4" w:rsidRDefault="009554E4" w:rsidP="00C84C95">
      <w:pPr>
        <w:jc w:val="center"/>
      </w:pPr>
    </w:p>
    <w:p w:rsidR="009554E4" w:rsidRPr="00E02993" w:rsidRDefault="009554E4" w:rsidP="009554E4">
      <w:pPr>
        <w:tabs>
          <w:tab w:val="left" w:pos="900"/>
        </w:tabs>
        <w:jc w:val="center"/>
        <w:rPr>
          <w:b/>
          <w:sz w:val="28"/>
          <w:szCs w:val="28"/>
        </w:rPr>
      </w:pPr>
      <w:r w:rsidRPr="00E02993">
        <w:rPr>
          <w:b/>
          <w:sz w:val="28"/>
          <w:szCs w:val="28"/>
        </w:rPr>
        <w:t>PREGLED</w:t>
      </w:r>
    </w:p>
    <w:p w:rsidR="009554E4" w:rsidRPr="00E02993" w:rsidRDefault="009554E4" w:rsidP="009554E4">
      <w:pPr>
        <w:tabs>
          <w:tab w:val="left" w:pos="900"/>
        </w:tabs>
        <w:jc w:val="center"/>
      </w:pPr>
      <w:r w:rsidRPr="00E02993">
        <w:rPr>
          <w:b/>
        </w:rPr>
        <w:t>ostvarenih prihoda</w:t>
      </w:r>
      <w:r w:rsidR="00973194">
        <w:rPr>
          <w:b/>
        </w:rPr>
        <w:t xml:space="preserve">, </w:t>
      </w:r>
      <w:r w:rsidRPr="00E02993">
        <w:rPr>
          <w:b/>
        </w:rPr>
        <w:t xml:space="preserve">primitaka </w:t>
      </w:r>
      <w:r w:rsidR="00973194">
        <w:rPr>
          <w:b/>
        </w:rPr>
        <w:t xml:space="preserve">i financiranja </w:t>
      </w:r>
      <w:r w:rsidRPr="00E02993">
        <w:rPr>
          <w:b/>
        </w:rPr>
        <w:t xml:space="preserve">te rashoda i izdataka Proračuna Županije Posavske za razdoblje od 01.01. do </w:t>
      </w:r>
      <w:r w:rsidR="00445B8B">
        <w:rPr>
          <w:b/>
        </w:rPr>
        <w:t>3</w:t>
      </w:r>
      <w:r w:rsidR="007A59D0">
        <w:rPr>
          <w:b/>
        </w:rPr>
        <w:t>0</w:t>
      </w:r>
      <w:r w:rsidRPr="00E02993">
        <w:rPr>
          <w:b/>
        </w:rPr>
        <w:t>.0</w:t>
      </w:r>
      <w:r w:rsidR="00DE5791">
        <w:rPr>
          <w:b/>
        </w:rPr>
        <w:t>9</w:t>
      </w:r>
      <w:r w:rsidRPr="00E02993">
        <w:rPr>
          <w:b/>
        </w:rPr>
        <w:t>.20</w:t>
      </w:r>
      <w:r w:rsidR="00445B8B">
        <w:rPr>
          <w:b/>
        </w:rPr>
        <w:t>20</w:t>
      </w:r>
      <w:r w:rsidRPr="00E02993">
        <w:rPr>
          <w:b/>
        </w:rPr>
        <w:t>. godine</w:t>
      </w:r>
    </w:p>
    <w:p w:rsidR="009554E4" w:rsidRPr="00E02993" w:rsidRDefault="009554E4" w:rsidP="009554E4">
      <w:pPr>
        <w:tabs>
          <w:tab w:val="left" w:pos="900"/>
        </w:tabs>
        <w:jc w:val="both"/>
      </w:pPr>
    </w:p>
    <w:p w:rsidR="009554E4" w:rsidRPr="00E02993" w:rsidRDefault="009554E4" w:rsidP="009554E4">
      <w:pPr>
        <w:tabs>
          <w:tab w:val="left" w:pos="900"/>
        </w:tabs>
        <w:jc w:val="both"/>
      </w:pPr>
      <w:r w:rsidRPr="00D04D53">
        <w:t>U razdoblju od 01.01. do 3</w:t>
      </w:r>
      <w:r w:rsidR="007A59D0">
        <w:t>0</w:t>
      </w:r>
      <w:r w:rsidRPr="00D04D53">
        <w:t>.0</w:t>
      </w:r>
      <w:r w:rsidR="00DE5791">
        <w:t>9</w:t>
      </w:r>
      <w:r w:rsidRPr="00D04D53">
        <w:t>.20</w:t>
      </w:r>
      <w:r w:rsidR="00445B8B">
        <w:t>20</w:t>
      </w:r>
      <w:r w:rsidRPr="00D04D53">
        <w:t>. godine ukupno su ostvareni prihodi</w:t>
      </w:r>
      <w:r w:rsidR="00973194" w:rsidRPr="00D04D53">
        <w:t>,</w:t>
      </w:r>
      <w:r w:rsidRPr="00D04D53">
        <w:t xml:space="preserve"> primici</w:t>
      </w:r>
      <w:r w:rsidR="00973194" w:rsidRPr="00D04D53">
        <w:t xml:space="preserve"> i</w:t>
      </w:r>
      <w:r w:rsidR="00973194">
        <w:t xml:space="preserve"> financiranje</w:t>
      </w:r>
      <w:r w:rsidRPr="00E02993">
        <w:t xml:space="preserve"> u iznosu od </w:t>
      </w:r>
      <w:r w:rsidR="002230A6">
        <w:t>35.918.</w:t>
      </w:r>
      <w:r w:rsidR="00BA385F">
        <w:t>777</w:t>
      </w:r>
      <w:r w:rsidRPr="00E02993">
        <w:t xml:space="preserve"> KM</w:t>
      </w:r>
      <w:r w:rsidR="00BA16A3">
        <w:t>,</w:t>
      </w:r>
      <w:r w:rsidR="009B127F">
        <w:t xml:space="preserve"> odnosno </w:t>
      </w:r>
      <w:r w:rsidR="002230A6">
        <w:t>82,38</w:t>
      </w:r>
      <w:r w:rsidR="009B127F">
        <w:t>%</w:t>
      </w:r>
      <w:r w:rsidR="00BA4FED">
        <w:t xml:space="preserve"> ukupnog plana</w:t>
      </w:r>
      <w:r w:rsidR="00BA16A3">
        <w:t>.</w:t>
      </w:r>
      <w:r w:rsidR="00605D12">
        <w:t xml:space="preserve"> </w:t>
      </w:r>
      <w:r w:rsidR="00BA16A3">
        <w:t xml:space="preserve">U istom razdoblju </w:t>
      </w:r>
      <w:r w:rsidRPr="00E02993">
        <w:t>izvršeni rashodi</w:t>
      </w:r>
      <w:r w:rsidR="00973194">
        <w:t xml:space="preserve"> i izdaci</w:t>
      </w:r>
      <w:r w:rsidRPr="00E02993">
        <w:t xml:space="preserve"> iznose </w:t>
      </w:r>
      <w:r w:rsidR="002230A6">
        <w:t>29.290.</w:t>
      </w:r>
      <w:r w:rsidR="00BA385F">
        <w:t>416</w:t>
      </w:r>
      <w:r w:rsidRPr="00E02993">
        <w:t xml:space="preserve"> KM</w:t>
      </w:r>
      <w:r w:rsidR="00BA16A3">
        <w:t>,</w:t>
      </w:r>
      <w:r w:rsidRPr="00E02993">
        <w:t xml:space="preserve"> odnosno </w:t>
      </w:r>
      <w:r w:rsidR="002230A6">
        <w:t>67,19</w:t>
      </w:r>
      <w:r w:rsidRPr="00681EB5">
        <w:t>%</w:t>
      </w:r>
      <w:r w:rsidR="00BA16A3" w:rsidRPr="00681EB5">
        <w:t>,</w:t>
      </w:r>
      <w:r w:rsidRPr="00E02993">
        <w:t xml:space="preserve"> čime je ostvaren višak </w:t>
      </w:r>
      <w:r w:rsidR="00601F3E">
        <w:t>prihoda</w:t>
      </w:r>
      <w:r w:rsidRPr="00E02993">
        <w:t xml:space="preserve"> nad </w:t>
      </w:r>
      <w:r w:rsidR="00601F3E">
        <w:t>rashodima</w:t>
      </w:r>
      <w:r w:rsidRPr="00E02993">
        <w:t xml:space="preserve"> Proračuna Županije Posavske u iznosu od</w:t>
      </w:r>
      <w:r w:rsidR="007D2CB1">
        <w:t xml:space="preserve"> </w:t>
      </w:r>
      <w:r w:rsidR="002230A6">
        <w:t>6.628.</w:t>
      </w:r>
      <w:r w:rsidR="00BA385F">
        <w:t>361</w:t>
      </w:r>
      <w:r w:rsidR="0071316F">
        <w:t xml:space="preserve"> </w:t>
      </w:r>
      <w:r w:rsidRPr="00E02993">
        <w:t>KM.</w:t>
      </w:r>
    </w:p>
    <w:p w:rsidR="009554E4" w:rsidRPr="00E02993" w:rsidRDefault="009554E4" w:rsidP="009554E4">
      <w:pPr>
        <w:tabs>
          <w:tab w:val="left" w:pos="900"/>
        </w:tabs>
        <w:jc w:val="both"/>
      </w:pPr>
    </w:p>
    <w:p w:rsidR="009554E4" w:rsidRDefault="009554E4" w:rsidP="009554E4">
      <w:pPr>
        <w:tabs>
          <w:tab w:val="left" w:pos="900"/>
        </w:tabs>
        <w:jc w:val="both"/>
      </w:pPr>
      <w:r w:rsidRPr="00E02993">
        <w:t>U izvještajnom razdoblju izvršenje je bilo slijedeće:</w:t>
      </w:r>
    </w:p>
    <w:p w:rsidR="004C2E0E" w:rsidRDefault="004C2E0E" w:rsidP="009554E4">
      <w:pPr>
        <w:tabs>
          <w:tab w:val="left" w:pos="900"/>
        </w:tabs>
        <w:jc w:val="both"/>
      </w:pPr>
    </w:p>
    <w:tbl>
      <w:tblPr>
        <w:tblStyle w:val="Reetkatablice"/>
        <w:tblW w:w="0" w:type="auto"/>
        <w:jc w:val="center"/>
        <w:tblInd w:w="-837" w:type="dxa"/>
        <w:tblLook w:val="04A0"/>
      </w:tblPr>
      <w:tblGrid>
        <w:gridCol w:w="5706"/>
        <w:gridCol w:w="1820"/>
        <w:gridCol w:w="1451"/>
        <w:gridCol w:w="1016"/>
      </w:tblGrid>
      <w:tr w:rsidR="00973194" w:rsidRPr="00973194" w:rsidTr="002230A6">
        <w:trPr>
          <w:jc w:val="center"/>
        </w:trPr>
        <w:tc>
          <w:tcPr>
            <w:tcW w:w="5706" w:type="dxa"/>
            <w:shd w:val="clear" w:color="auto" w:fill="D9D9D9" w:themeFill="background1" w:themeFillShade="D9"/>
            <w:vAlign w:val="center"/>
          </w:tcPr>
          <w:p w:rsidR="00973194" w:rsidRPr="00973194" w:rsidRDefault="00973194" w:rsidP="00973194">
            <w:pPr>
              <w:tabs>
                <w:tab w:val="left" w:pos="900"/>
              </w:tabs>
              <w:jc w:val="center"/>
              <w:rPr>
                <w:b/>
                <w:sz w:val="22"/>
              </w:rPr>
            </w:pPr>
            <w:r w:rsidRPr="00973194">
              <w:rPr>
                <w:b/>
                <w:sz w:val="22"/>
              </w:rPr>
              <w:t>OPIS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973194" w:rsidRPr="00E36B0D" w:rsidRDefault="00973194" w:rsidP="002230A6">
            <w:pPr>
              <w:tabs>
                <w:tab w:val="left" w:pos="900"/>
              </w:tabs>
              <w:jc w:val="center"/>
              <w:rPr>
                <w:b/>
                <w:sz w:val="16"/>
                <w:szCs w:val="16"/>
              </w:rPr>
            </w:pPr>
            <w:r w:rsidRPr="00E36B0D">
              <w:rPr>
                <w:b/>
                <w:sz w:val="16"/>
                <w:szCs w:val="16"/>
              </w:rPr>
              <w:t>PRORAČUN za 20</w:t>
            </w:r>
            <w:r w:rsidR="00E36B0D" w:rsidRPr="00E36B0D">
              <w:rPr>
                <w:b/>
                <w:sz w:val="16"/>
                <w:szCs w:val="16"/>
              </w:rPr>
              <w:t>20</w:t>
            </w:r>
            <w:r w:rsidRPr="00E36B0D">
              <w:rPr>
                <w:b/>
                <w:sz w:val="16"/>
                <w:szCs w:val="16"/>
              </w:rPr>
              <w:t>. g.</w:t>
            </w:r>
            <w:r w:rsidR="00E36B0D" w:rsidRPr="00E36B0D">
              <w:rPr>
                <w:b/>
                <w:sz w:val="16"/>
                <w:szCs w:val="16"/>
              </w:rPr>
              <w:t>/</w:t>
            </w:r>
            <w:r w:rsidR="007A59D0">
              <w:rPr>
                <w:b/>
                <w:sz w:val="16"/>
                <w:szCs w:val="16"/>
              </w:rPr>
              <w:t>Izmjene i dopune</w:t>
            </w:r>
            <w:r w:rsidR="00E36B0D">
              <w:rPr>
                <w:b/>
                <w:sz w:val="16"/>
                <w:szCs w:val="16"/>
              </w:rPr>
              <w:t xml:space="preserve"> </w:t>
            </w:r>
            <w:r w:rsidR="00E36B0D" w:rsidRPr="00E36B0D">
              <w:rPr>
                <w:b/>
                <w:sz w:val="16"/>
                <w:szCs w:val="16"/>
              </w:rPr>
              <w:t>Prorač</w:t>
            </w:r>
            <w:r w:rsidR="00E36B0D">
              <w:rPr>
                <w:b/>
                <w:sz w:val="16"/>
                <w:szCs w:val="16"/>
              </w:rPr>
              <w:t>.</w:t>
            </w:r>
            <w:r w:rsidR="00E36B0D" w:rsidRPr="00E36B0D">
              <w:rPr>
                <w:b/>
                <w:sz w:val="16"/>
                <w:szCs w:val="16"/>
              </w:rPr>
              <w:t xml:space="preserve">za </w:t>
            </w:r>
            <w:r w:rsidR="002230A6">
              <w:rPr>
                <w:b/>
                <w:sz w:val="16"/>
                <w:szCs w:val="16"/>
              </w:rPr>
              <w:t>2</w:t>
            </w:r>
            <w:r w:rsidR="00E36B0D" w:rsidRPr="00E36B0D">
              <w:rPr>
                <w:b/>
                <w:sz w:val="16"/>
                <w:szCs w:val="16"/>
              </w:rPr>
              <w:t>020.g.</w:t>
            </w:r>
            <w:r w:rsidR="002230A6">
              <w:rPr>
                <w:b/>
                <w:sz w:val="16"/>
                <w:szCs w:val="16"/>
              </w:rPr>
              <w:t>/ Povećanje/ smanjenje Prorač.za 2020.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973194" w:rsidRPr="00973194" w:rsidRDefault="00973194" w:rsidP="00973194">
            <w:pPr>
              <w:tabs>
                <w:tab w:val="left" w:pos="900"/>
              </w:tabs>
              <w:jc w:val="center"/>
              <w:rPr>
                <w:b/>
                <w:sz w:val="22"/>
              </w:rPr>
            </w:pPr>
            <w:r w:rsidRPr="00973194">
              <w:rPr>
                <w:b/>
                <w:sz w:val="22"/>
              </w:rPr>
              <w:t>IZVRŠENJE</w:t>
            </w:r>
          </w:p>
          <w:p w:rsidR="00973194" w:rsidRPr="00973194" w:rsidRDefault="00C07EBC" w:rsidP="002230A6">
            <w:pPr>
              <w:tabs>
                <w:tab w:val="left" w:pos="9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7A59D0">
              <w:rPr>
                <w:b/>
                <w:sz w:val="22"/>
              </w:rPr>
              <w:t>0</w:t>
            </w:r>
            <w:r w:rsidR="00973194" w:rsidRPr="00973194">
              <w:rPr>
                <w:b/>
                <w:sz w:val="22"/>
              </w:rPr>
              <w:t>.</w:t>
            </w:r>
            <w:r w:rsidR="00E36B0D">
              <w:rPr>
                <w:b/>
                <w:sz w:val="22"/>
              </w:rPr>
              <w:t>0</w:t>
            </w:r>
            <w:r w:rsidR="002230A6">
              <w:rPr>
                <w:b/>
                <w:sz w:val="22"/>
              </w:rPr>
              <w:t>9</w:t>
            </w:r>
            <w:r w:rsidR="00973194" w:rsidRPr="00973194">
              <w:rPr>
                <w:b/>
                <w:sz w:val="22"/>
              </w:rPr>
              <w:t>.20</w:t>
            </w:r>
            <w:r w:rsidR="00E36B0D">
              <w:rPr>
                <w:b/>
                <w:sz w:val="22"/>
              </w:rPr>
              <w:t>20</w:t>
            </w:r>
            <w:r w:rsidR="00973194" w:rsidRPr="00973194">
              <w:rPr>
                <w:b/>
                <w:sz w:val="22"/>
              </w:rPr>
              <w:t>.g.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973194" w:rsidRPr="00973194" w:rsidRDefault="00973194" w:rsidP="00973194">
            <w:pPr>
              <w:tabs>
                <w:tab w:val="left" w:pos="900"/>
              </w:tabs>
              <w:jc w:val="center"/>
              <w:rPr>
                <w:b/>
                <w:sz w:val="22"/>
              </w:rPr>
            </w:pPr>
            <w:r w:rsidRPr="00973194">
              <w:rPr>
                <w:b/>
                <w:sz w:val="22"/>
              </w:rPr>
              <w:t>Indeks</w:t>
            </w:r>
          </w:p>
          <w:p w:rsidR="00973194" w:rsidRPr="00973194" w:rsidRDefault="00973194" w:rsidP="00973194">
            <w:pPr>
              <w:tabs>
                <w:tab w:val="left" w:pos="900"/>
              </w:tabs>
              <w:jc w:val="center"/>
              <w:rPr>
                <w:b/>
                <w:sz w:val="22"/>
              </w:rPr>
            </w:pPr>
            <w:r w:rsidRPr="00973194">
              <w:rPr>
                <w:b/>
                <w:sz w:val="22"/>
              </w:rPr>
              <w:t>(3/2)</w:t>
            </w:r>
          </w:p>
        </w:tc>
      </w:tr>
      <w:tr w:rsidR="00973194" w:rsidRPr="00973194" w:rsidTr="002230A6">
        <w:trPr>
          <w:jc w:val="center"/>
        </w:trPr>
        <w:tc>
          <w:tcPr>
            <w:tcW w:w="5706" w:type="dxa"/>
          </w:tcPr>
          <w:p w:rsidR="00973194" w:rsidRPr="00973194" w:rsidRDefault="00973194" w:rsidP="00973194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973194"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</w:tcPr>
          <w:p w:rsidR="00973194" w:rsidRPr="00973194" w:rsidRDefault="00973194" w:rsidP="00973194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973194"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973194" w:rsidRPr="00973194" w:rsidRDefault="00973194" w:rsidP="00973194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973194">
              <w:rPr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:rsidR="00973194" w:rsidRPr="00973194" w:rsidRDefault="00973194" w:rsidP="00973194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973194">
              <w:rPr>
                <w:sz w:val="18"/>
                <w:szCs w:val="18"/>
              </w:rPr>
              <w:t>4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1. PRORAČUNSKI PRIHODI (1.1.+1.2.+1.3.+1.4.+1.5.)</w:t>
            </w:r>
          </w:p>
        </w:tc>
        <w:tc>
          <w:tcPr>
            <w:tcW w:w="1820" w:type="dxa"/>
          </w:tcPr>
          <w:p w:rsidR="00973194" w:rsidRPr="004C2E0E" w:rsidRDefault="002230A6" w:rsidP="00E92783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43.594.246</w:t>
            </w:r>
          </w:p>
        </w:tc>
        <w:tc>
          <w:tcPr>
            <w:tcW w:w="1451" w:type="dxa"/>
          </w:tcPr>
          <w:p w:rsidR="00973194" w:rsidRPr="004C2E0E" w:rsidRDefault="002230A6" w:rsidP="00BA385F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35.912.66</w:t>
            </w:r>
            <w:r w:rsidR="00BA385F">
              <w:rPr>
                <w:b/>
                <w:sz w:val="22"/>
              </w:rPr>
              <w:t>4</w:t>
            </w:r>
          </w:p>
        </w:tc>
        <w:tc>
          <w:tcPr>
            <w:tcW w:w="1016" w:type="dxa"/>
          </w:tcPr>
          <w:p w:rsidR="00973194" w:rsidRPr="004C2E0E" w:rsidRDefault="00BA385F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82,38</w:t>
            </w:r>
          </w:p>
        </w:tc>
      </w:tr>
      <w:tr w:rsidR="00973194" w:rsidRPr="00973194" w:rsidTr="002230A6">
        <w:trPr>
          <w:jc w:val="center"/>
        </w:trPr>
        <w:tc>
          <w:tcPr>
            <w:tcW w:w="5706" w:type="dxa"/>
          </w:tcPr>
          <w:p w:rsidR="00973194" w:rsidRPr="00973194" w:rsidRDefault="00973194" w:rsidP="009554E4">
            <w:pPr>
              <w:tabs>
                <w:tab w:val="left" w:pos="900"/>
              </w:tabs>
              <w:jc w:val="both"/>
              <w:rPr>
                <w:sz w:val="22"/>
              </w:rPr>
            </w:pPr>
            <w:r w:rsidRPr="00973194">
              <w:rPr>
                <w:sz w:val="22"/>
              </w:rPr>
              <w:t>1.1. Prihodi od poreza</w:t>
            </w:r>
          </w:p>
        </w:tc>
        <w:tc>
          <w:tcPr>
            <w:tcW w:w="1820" w:type="dxa"/>
          </w:tcPr>
          <w:p w:rsidR="00973194" w:rsidRPr="00973194" w:rsidRDefault="00DF1666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31.336.530</w:t>
            </w:r>
          </w:p>
        </w:tc>
        <w:tc>
          <w:tcPr>
            <w:tcW w:w="1451" w:type="dxa"/>
          </w:tcPr>
          <w:p w:rsidR="00973194" w:rsidRPr="00973194" w:rsidRDefault="00BA385F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25.175.572</w:t>
            </w:r>
          </w:p>
        </w:tc>
        <w:tc>
          <w:tcPr>
            <w:tcW w:w="1016" w:type="dxa"/>
          </w:tcPr>
          <w:p w:rsidR="00973194" w:rsidRPr="00973194" w:rsidRDefault="00BA385F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80,34</w:t>
            </w:r>
          </w:p>
        </w:tc>
      </w:tr>
      <w:tr w:rsidR="00973194" w:rsidRPr="00973194" w:rsidTr="002230A6">
        <w:trPr>
          <w:jc w:val="center"/>
        </w:trPr>
        <w:tc>
          <w:tcPr>
            <w:tcW w:w="5706" w:type="dxa"/>
          </w:tcPr>
          <w:p w:rsidR="00973194" w:rsidRPr="00973194" w:rsidRDefault="00973194" w:rsidP="009554E4">
            <w:pPr>
              <w:tabs>
                <w:tab w:val="left" w:pos="900"/>
              </w:tabs>
              <w:jc w:val="both"/>
              <w:rPr>
                <w:sz w:val="22"/>
              </w:rPr>
            </w:pPr>
            <w:r w:rsidRPr="00973194">
              <w:rPr>
                <w:sz w:val="22"/>
              </w:rPr>
              <w:t>1.2. Neporezni prihodi</w:t>
            </w:r>
          </w:p>
        </w:tc>
        <w:tc>
          <w:tcPr>
            <w:tcW w:w="1820" w:type="dxa"/>
          </w:tcPr>
          <w:p w:rsidR="00973194" w:rsidRPr="00973194" w:rsidRDefault="00DF1666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2.642.220</w:t>
            </w:r>
          </w:p>
        </w:tc>
        <w:tc>
          <w:tcPr>
            <w:tcW w:w="1451" w:type="dxa"/>
          </w:tcPr>
          <w:p w:rsidR="00973194" w:rsidRPr="00973194" w:rsidRDefault="00BA385F" w:rsidP="00FA03EF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1.957.627</w:t>
            </w:r>
          </w:p>
        </w:tc>
        <w:tc>
          <w:tcPr>
            <w:tcW w:w="1016" w:type="dxa"/>
          </w:tcPr>
          <w:p w:rsidR="00973194" w:rsidRPr="00973194" w:rsidRDefault="00BA385F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74,09</w:t>
            </w:r>
          </w:p>
        </w:tc>
      </w:tr>
      <w:tr w:rsidR="00973194" w:rsidRPr="00973194" w:rsidTr="002230A6">
        <w:trPr>
          <w:jc w:val="center"/>
        </w:trPr>
        <w:tc>
          <w:tcPr>
            <w:tcW w:w="5706" w:type="dxa"/>
          </w:tcPr>
          <w:p w:rsidR="00973194" w:rsidRPr="00973194" w:rsidRDefault="00973194" w:rsidP="009554E4">
            <w:pPr>
              <w:tabs>
                <w:tab w:val="left" w:pos="900"/>
              </w:tabs>
              <w:jc w:val="both"/>
              <w:rPr>
                <w:sz w:val="22"/>
              </w:rPr>
            </w:pPr>
            <w:r w:rsidRPr="00973194">
              <w:rPr>
                <w:sz w:val="22"/>
              </w:rPr>
              <w:t xml:space="preserve">1.3. Tekući </w:t>
            </w:r>
            <w:proofErr w:type="spellStart"/>
            <w:r w:rsidRPr="00973194">
              <w:rPr>
                <w:sz w:val="22"/>
              </w:rPr>
              <w:t>grantovi</w:t>
            </w:r>
            <w:proofErr w:type="spellEnd"/>
            <w:r w:rsidRPr="00973194">
              <w:rPr>
                <w:sz w:val="22"/>
              </w:rPr>
              <w:t xml:space="preserve"> (</w:t>
            </w:r>
            <w:proofErr w:type="spellStart"/>
            <w:r w:rsidRPr="00973194">
              <w:rPr>
                <w:sz w:val="22"/>
              </w:rPr>
              <w:t>grantovi</w:t>
            </w:r>
            <w:proofErr w:type="spellEnd"/>
            <w:r w:rsidRPr="00973194">
              <w:rPr>
                <w:sz w:val="22"/>
              </w:rPr>
              <w:t xml:space="preserve"> i donacije)</w:t>
            </w:r>
          </w:p>
        </w:tc>
        <w:tc>
          <w:tcPr>
            <w:tcW w:w="1820" w:type="dxa"/>
          </w:tcPr>
          <w:p w:rsidR="00973194" w:rsidRPr="00973194" w:rsidRDefault="00DF1666" w:rsidP="002230A6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  <w:r w:rsidR="002230A6">
              <w:rPr>
                <w:sz w:val="22"/>
              </w:rPr>
              <w:t>260</w:t>
            </w:r>
            <w:r>
              <w:rPr>
                <w:sz w:val="22"/>
              </w:rPr>
              <w:t>.</w:t>
            </w:r>
            <w:r w:rsidR="002230A6">
              <w:rPr>
                <w:sz w:val="22"/>
              </w:rPr>
              <w:t>249</w:t>
            </w:r>
          </w:p>
        </w:tc>
        <w:tc>
          <w:tcPr>
            <w:tcW w:w="1451" w:type="dxa"/>
          </w:tcPr>
          <w:p w:rsidR="00973194" w:rsidRPr="00973194" w:rsidRDefault="00BA385F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8.411.529</w:t>
            </w:r>
          </w:p>
        </w:tc>
        <w:tc>
          <w:tcPr>
            <w:tcW w:w="1016" w:type="dxa"/>
          </w:tcPr>
          <w:p w:rsidR="00973194" w:rsidRPr="00973194" w:rsidRDefault="00BA385F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90,83</w:t>
            </w:r>
          </w:p>
        </w:tc>
      </w:tr>
      <w:tr w:rsidR="00973194" w:rsidRPr="00973194" w:rsidTr="002230A6">
        <w:trPr>
          <w:jc w:val="center"/>
        </w:trPr>
        <w:tc>
          <w:tcPr>
            <w:tcW w:w="5706" w:type="dxa"/>
          </w:tcPr>
          <w:p w:rsidR="00973194" w:rsidRPr="00973194" w:rsidRDefault="00973194" w:rsidP="009554E4">
            <w:pPr>
              <w:tabs>
                <w:tab w:val="left" w:pos="900"/>
              </w:tabs>
              <w:jc w:val="both"/>
              <w:rPr>
                <w:sz w:val="22"/>
              </w:rPr>
            </w:pPr>
            <w:r w:rsidRPr="00973194">
              <w:rPr>
                <w:sz w:val="22"/>
              </w:rPr>
              <w:t xml:space="preserve">1.4. Kapitalni </w:t>
            </w:r>
            <w:proofErr w:type="spellStart"/>
            <w:r w:rsidRPr="00973194">
              <w:rPr>
                <w:sz w:val="22"/>
              </w:rPr>
              <w:t>grantovi</w:t>
            </w:r>
            <w:proofErr w:type="spellEnd"/>
          </w:p>
        </w:tc>
        <w:tc>
          <w:tcPr>
            <w:tcW w:w="1820" w:type="dxa"/>
          </w:tcPr>
          <w:p w:rsidR="00973194" w:rsidRPr="00973194" w:rsidRDefault="002230A6" w:rsidP="002230A6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354</w:t>
            </w:r>
            <w:r w:rsidR="00DF1666">
              <w:rPr>
                <w:sz w:val="22"/>
              </w:rPr>
              <w:t>.</w:t>
            </w:r>
            <w:r>
              <w:rPr>
                <w:sz w:val="22"/>
              </w:rPr>
              <w:t>947</w:t>
            </w:r>
          </w:p>
        </w:tc>
        <w:tc>
          <w:tcPr>
            <w:tcW w:w="1451" w:type="dxa"/>
          </w:tcPr>
          <w:p w:rsidR="00973194" w:rsidRPr="00973194" w:rsidRDefault="00BA385F" w:rsidP="008D188E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367.673</w:t>
            </w:r>
          </w:p>
        </w:tc>
        <w:tc>
          <w:tcPr>
            <w:tcW w:w="1016" w:type="dxa"/>
          </w:tcPr>
          <w:p w:rsidR="00973194" w:rsidRPr="00973194" w:rsidRDefault="00BA385F" w:rsidP="00E865C5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103,59</w:t>
            </w:r>
          </w:p>
        </w:tc>
      </w:tr>
      <w:tr w:rsidR="00973194" w:rsidRPr="00973194" w:rsidTr="002230A6">
        <w:trPr>
          <w:jc w:val="center"/>
        </w:trPr>
        <w:tc>
          <w:tcPr>
            <w:tcW w:w="5706" w:type="dxa"/>
          </w:tcPr>
          <w:p w:rsidR="00973194" w:rsidRPr="00973194" w:rsidRDefault="00973194" w:rsidP="009554E4">
            <w:pPr>
              <w:tabs>
                <w:tab w:val="left" w:pos="900"/>
              </w:tabs>
              <w:jc w:val="both"/>
              <w:rPr>
                <w:sz w:val="22"/>
              </w:rPr>
            </w:pPr>
            <w:r w:rsidRPr="00973194">
              <w:rPr>
                <w:sz w:val="22"/>
              </w:rPr>
              <w:t>1.5. Prihodi po osnovi zaostalih obveza</w:t>
            </w:r>
            <w:bookmarkStart w:id="0" w:name="_GoBack"/>
            <w:bookmarkEnd w:id="0"/>
          </w:p>
        </w:tc>
        <w:tc>
          <w:tcPr>
            <w:tcW w:w="1820" w:type="dxa"/>
          </w:tcPr>
          <w:p w:rsidR="00973194" w:rsidRPr="00973194" w:rsidRDefault="00DF1666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451" w:type="dxa"/>
          </w:tcPr>
          <w:p w:rsidR="00973194" w:rsidRPr="00973194" w:rsidRDefault="00BA385F" w:rsidP="00B008C9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016" w:type="dxa"/>
          </w:tcPr>
          <w:p w:rsidR="00973194" w:rsidRPr="00C07EBC" w:rsidRDefault="00BA385F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87,67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296123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 xml:space="preserve">2. </w:t>
            </w:r>
            <w:r w:rsidR="00296123">
              <w:rPr>
                <w:b/>
                <w:sz w:val="22"/>
              </w:rPr>
              <w:t xml:space="preserve">PRORAČUNSKI </w:t>
            </w:r>
            <w:r w:rsidRPr="004C2E0E">
              <w:rPr>
                <w:b/>
                <w:sz w:val="22"/>
              </w:rPr>
              <w:t>RASHODI (2.1.+</w:t>
            </w:r>
            <w:r w:rsidR="00296123">
              <w:rPr>
                <w:b/>
                <w:sz w:val="22"/>
              </w:rPr>
              <w:t>..</w:t>
            </w:r>
            <w:r w:rsidRPr="004C2E0E">
              <w:rPr>
                <w:b/>
                <w:sz w:val="22"/>
              </w:rPr>
              <w:t>.</w:t>
            </w:r>
            <w:r w:rsidR="00296123">
              <w:rPr>
                <w:b/>
                <w:sz w:val="22"/>
              </w:rPr>
              <w:t>+2.7.</w:t>
            </w:r>
            <w:r w:rsidRPr="004C2E0E">
              <w:rPr>
                <w:b/>
                <w:sz w:val="22"/>
              </w:rPr>
              <w:t>)</w:t>
            </w:r>
          </w:p>
        </w:tc>
        <w:tc>
          <w:tcPr>
            <w:tcW w:w="1820" w:type="dxa"/>
          </w:tcPr>
          <w:p w:rsidR="00973194" w:rsidRPr="004C2E0E" w:rsidRDefault="00DF1666" w:rsidP="00E92783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41.102.250</w:t>
            </w:r>
          </w:p>
        </w:tc>
        <w:tc>
          <w:tcPr>
            <w:tcW w:w="1451" w:type="dxa"/>
          </w:tcPr>
          <w:p w:rsidR="00973194" w:rsidRPr="004C2E0E" w:rsidRDefault="002230A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27.868.</w:t>
            </w:r>
            <w:r w:rsidR="00BA385F">
              <w:rPr>
                <w:b/>
                <w:sz w:val="22"/>
              </w:rPr>
              <w:t>531</w:t>
            </w:r>
          </w:p>
        </w:tc>
        <w:tc>
          <w:tcPr>
            <w:tcW w:w="1016" w:type="dxa"/>
          </w:tcPr>
          <w:p w:rsidR="00973194" w:rsidRPr="004C2E0E" w:rsidRDefault="00BA385F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67,87</w:t>
            </w:r>
          </w:p>
        </w:tc>
      </w:tr>
      <w:tr w:rsidR="00973194" w:rsidRPr="00973194" w:rsidTr="002230A6">
        <w:trPr>
          <w:jc w:val="center"/>
        </w:trPr>
        <w:tc>
          <w:tcPr>
            <w:tcW w:w="5706" w:type="dxa"/>
          </w:tcPr>
          <w:p w:rsidR="00973194" w:rsidRPr="00973194" w:rsidRDefault="00973194" w:rsidP="009554E4">
            <w:pPr>
              <w:tabs>
                <w:tab w:val="left" w:pos="900"/>
              </w:tabs>
              <w:jc w:val="both"/>
              <w:rPr>
                <w:sz w:val="22"/>
              </w:rPr>
            </w:pPr>
            <w:r w:rsidRPr="00973194">
              <w:rPr>
                <w:sz w:val="22"/>
              </w:rPr>
              <w:t>2.1. Rashod</w:t>
            </w:r>
            <w:r w:rsidR="00296123">
              <w:rPr>
                <w:sz w:val="22"/>
              </w:rPr>
              <w:t>i – Tekuća pričuva</w:t>
            </w:r>
          </w:p>
        </w:tc>
        <w:tc>
          <w:tcPr>
            <w:tcW w:w="1820" w:type="dxa"/>
          </w:tcPr>
          <w:p w:rsidR="00973194" w:rsidRPr="00973194" w:rsidRDefault="00DF1666" w:rsidP="00115391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498.000</w:t>
            </w:r>
          </w:p>
        </w:tc>
        <w:tc>
          <w:tcPr>
            <w:tcW w:w="1451" w:type="dxa"/>
          </w:tcPr>
          <w:p w:rsidR="00973194" w:rsidRPr="00973194" w:rsidRDefault="002230A6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371.518</w:t>
            </w:r>
          </w:p>
        </w:tc>
        <w:tc>
          <w:tcPr>
            <w:tcW w:w="1016" w:type="dxa"/>
          </w:tcPr>
          <w:p w:rsidR="00973194" w:rsidRPr="00973194" w:rsidRDefault="00BA385F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74,60</w:t>
            </w:r>
          </w:p>
        </w:tc>
      </w:tr>
      <w:tr w:rsidR="00973194" w:rsidRPr="00973194" w:rsidTr="002230A6">
        <w:trPr>
          <w:jc w:val="center"/>
        </w:trPr>
        <w:tc>
          <w:tcPr>
            <w:tcW w:w="5706" w:type="dxa"/>
          </w:tcPr>
          <w:p w:rsidR="00973194" w:rsidRPr="00973194" w:rsidRDefault="00973194" w:rsidP="009554E4">
            <w:pPr>
              <w:tabs>
                <w:tab w:val="left" w:pos="900"/>
              </w:tabs>
              <w:jc w:val="both"/>
              <w:rPr>
                <w:sz w:val="22"/>
              </w:rPr>
            </w:pPr>
            <w:r w:rsidRPr="00973194">
              <w:rPr>
                <w:sz w:val="22"/>
              </w:rPr>
              <w:t xml:space="preserve">2.2. </w:t>
            </w:r>
            <w:r w:rsidR="00296123">
              <w:rPr>
                <w:sz w:val="22"/>
              </w:rPr>
              <w:t>Plaće i naknade troškova zaposlenih</w:t>
            </w:r>
          </w:p>
        </w:tc>
        <w:tc>
          <w:tcPr>
            <w:tcW w:w="1820" w:type="dxa"/>
          </w:tcPr>
          <w:p w:rsidR="00973194" w:rsidRPr="00973194" w:rsidRDefault="00DF1666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21.757.980</w:t>
            </w:r>
          </w:p>
        </w:tc>
        <w:tc>
          <w:tcPr>
            <w:tcW w:w="1451" w:type="dxa"/>
          </w:tcPr>
          <w:p w:rsidR="00973194" w:rsidRPr="00973194" w:rsidRDefault="002230A6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15.870.</w:t>
            </w:r>
            <w:r w:rsidR="00BA385F">
              <w:rPr>
                <w:sz w:val="22"/>
              </w:rPr>
              <w:t>592</w:t>
            </w:r>
          </w:p>
        </w:tc>
        <w:tc>
          <w:tcPr>
            <w:tcW w:w="1016" w:type="dxa"/>
          </w:tcPr>
          <w:p w:rsidR="00973194" w:rsidRPr="00973194" w:rsidRDefault="00BA385F" w:rsidP="00973194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72,94</w:t>
            </w:r>
          </w:p>
        </w:tc>
      </w:tr>
      <w:tr w:rsidR="00296123" w:rsidRPr="00973194" w:rsidTr="002230A6">
        <w:trPr>
          <w:jc w:val="center"/>
        </w:trPr>
        <w:tc>
          <w:tcPr>
            <w:tcW w:w="5706" w:type="dxa"/>
          </w:tcPr>
          <w:p w:rsidR="00296123" w:rsidRPr="00973194" w:rsidRDefault="00296123" w:rsidP="00296123">
            <w:pPr>
              <w:tabs>
                <w:tab w:val="left" w:pos="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2.3. Doprinosi poslodavca i ostali doprinosi</w:t>
            </w:r>
          </w:p>
        </w:tc>
        <w:tc>
          <w:tcPr>
            <w:tcW w:w="1820" w:type="dxa"/>
          </w:tcPr>
          <w:p w:rsidR="00296123" w:rsidRPr="00973194" w:rsidRDefault="00DF1666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2.141.380</w:t>
            </w:r>
          </w:p>
        </w:tc>
        <w:tc>
          <w:tcPr>
            <w:tcW w:w="1451" w:type="dxa"/>
          </w:tcPr>
          <w:p w:rsidR="00296123" w:rsidRPr="00973194" w:rsidRDefault="002230A6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1.574.879</w:t>
            </w:r>
          </w:p>
        </w:tc>
        <w:tc>
          <w:tcPr>
            <w:tcW w:w="1016" w:type="dxa"/>
          </w:tcPr>
          <w:p w:rsidR="00296123" w:rsidRPr="00973194" w:rsidRDefault="00BA385F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73,55</w:t>
            </w:r>
          </w:p>
        </w:tc>
      </w:tr>
      <w:tr w:rsidR="00296123" w:rsidRPr="00973194" w:rsidTr="002230A6">
        <w:trPr>
          <w:jc w:val="center"/>
        </w:trPr>
        <w:tc>
          <w:tcPr>
            <w:tcW w:w="5706" w:type="dxa"/>
          </w:tcPr>
          <w:p w:rsidR="00296123" w:rsidRPr="00973194" w:rsidRDefault="00296123" w:rsidP="00296123">
            <w:pPr>
              <w:tabs>
                <w:tab w:val="left" w:pos="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2.4. Izdaci za materijal, sitan inventar i usluge</w:t>
            </w:r>
          </w:p>
        </w:tc>
        <w:tc>
          <w:tcPr>
            <w:tcW w:w="1820" w:type="dxa"/>
          </w:tcPr>
          <w:p w:rsidR="00296123" w:rsidRPr="00973194" w:rsidRDefault="00DF1666" w:rsidP="002230A6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  <w:r w:rsidR="002230A6">
              <w:rPr>
                <w:sz w:val="22"/>
              </w:rPr>
              <w:t>921</w:t>
            </w:r>
            <w:r>
              <w:rPr>
                <w:sz w:val="22"/>
              </w:rPr>
              <w:t>.</w:t>
            </w:r>
            <w:r w:rsidR="002230A6">
              <w:rPr>
                <w:sz w:val="22"/>
              </w:rPr>
              <w:t>809</w:t>
            </w:r>
          </w:p>
        </w:tc>
        <w:tc>
          <w:tcPr>
            <w:tcW w:w="1451" w:type="dxa"/>
          </w:tcPr>
          <w:p w:rsidR="00296123" w:rsidRPr="00973194" w:rsidRDefault="002230A6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2.478.</w:t>
            </w:r>
            <w:r w:rsidR="00BA385F">
              <w:rPr>
                <w:sz w:val="22"/>
              </w:rPr>
              <w:t>903</w:t>
            </w:r>
          </w:p>
        </w:tc>
        <w:tc>
          <w:tcPr>
            <w:tcW w:w="1016" w:type="dxa"/>
          </w:tcPr>
          <w:p w:rsidR="00296123" w:rsidRPr="00973194" w:rsidRDefault="00BA385F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63,21</w:t>
            </w:r>
          </w:p>
        </w:tc>
      </w:tr>
      <w:tr w:rsidR="00296123" w:rsidRPr="00973194" w:rsidTr="002230A6">
        <w:trPr>
          <w:jc w:val="center"/>
        </w:trPr>
        <w:tc>
          <w:tcPr>
            <w:tcW w:w="5706" w:type="dxa"/>
          </w:tcPr>
          <w:p w:rsidR="00296123" w:rsidRPr="00973194" w:rsidRDefault="00296123" w:rsidP="00296123">
            <w:pPr>
              <w:tabs>
                <w:tab w:val="left" w:pos="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2.5. Tekući </w:t>
            </w:r>
            <w:proofErr w:type="spellStart"/>
            <w:r>
              <w:rPr>
                <w:sz w:val="22"/>
              </w:rPr>
              <w:t>grantovi</w:t>
            </w:r>
            <w:proofErr w:type="spellEnd"/>
            <w:r>
              <w:rPr>
                <w:sz w:val="22"/>
              </w:rPr>
              <w:t xml:space="preserve"> i drugi tekući rashodi</w:t>
            </w:r>
          </w:p>
        </w:tc>
        <w:tc>
          <w:tcPr>
            <w:tcW w:w="1820" w:type="dxa"/>
          </w:tcPr>
          <w:p w:rsidR="00296123" w:rsidRPr="00973194" w:rsidRDefault="00DF1666" w:rsidP="00E9278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12.417.000</w:t>
            </w:r>
          </w:p>
        </w:tc>
        <w:tc>
          <w:tcPr>
            <w:tcW w:w="1451" w:type="dxa"/>
          </w:tcPr>
          <w:p w:rsidR="00296123" w:rsidRPr="00973194" w:rsidRDefault="002230A6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7.532.127</w:t>
            </w:r>
          </w:p>
        </w:tc>
        <w:tc>
          <w:tcPr>
            <w:tcW w:w="1016" w:type="dxa"/>
          </w:tcPr>
          <w:p w:rsidR="00296123" w:rsidRPr="00973194" w:rsidRDefault="00BA385F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60,66</w:t>
            </w:r>
          </w:p>
        </w:tc>
      </w:tr>
      <w:tr w:rsidR="00296123" w:rsidRPr="00973194" w:rsidTr="002230A6">
        <w:trPr>
          <w:jc w:val="center"/>
        </w:trPr>
        <w:tc>
          <w:tcPr>
            <w:tcW w:w="5706" w:type="dxa"/>
          </w:tcPr>
          <w:p w:rsidR="00296123" w:rsidRPr="00973194" w:rsidRDefault="00296123" w:rsidP="00296123">
            <w:pPr>
              <w:tabs>
                <w:tab w:val="left" w:pos="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2.6. Kapitalni </w:t>
            </w:r>
            <w:proofErr w:type="spellStart"/>
            <w:r>
              <w:rPr>
                <w:sz w:val="22"/>
              </w:rPr>
              <w:t>grantovi</w:t>
            </w:r>
            <w:proofErr w:type="spellEnd"/>
          </w:p>
        </w:tc>
        <w:tc>
          <w:tcPr>
            <w:tcW w:w="1820" w:type="dxa"/>
          </w:tcPr>
          <w:p w:rsidR="00296123" w:rsidRPr="00973194" w:rsidRDefault="002230A6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280</w:t>
            </w:r>
            <w:r w:rsidR="00DF1666">
              <w:rPr>
                <w:sz w:val="22"/>
              </w:rPr>
              <w:t>.000</w:t>
            </w:r>
          </w:p>
        </w:tc>
        <w:tc>
          <w:tcPr>
            <w:tcW w:w="1451" w:type="dxa"/>
          </w:tcPr>
          <w:p w:rsidR="00296123" w:rsidRPr="00973194" w:rsidRDefault="002230A6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4.000</w:t>
            </w:r>
          </w:p>
        </w:tc>
        <w:tc>
          <w:tcPr>
            <w:tcW w:w="1016" w:type="dxa"/>
          </w:tcPr>
          <w:p w:rsidR="00296123" w:rsidRPr="00973194" w:rsidRDefault="00BA385F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1,43</w:t>
            </w:r>
          </w:p>
        </w:tc>
      </w:tr>
      <w:tr w:rsidR="00296123" w:rsidRPr="00973194" w:rsidTr="002230A6">
        <w:trPr>
          <w:jc w:val="center"/>
        </w:trPr>
        <w:tc>
          <w:tcPr>
            <w:tcW w:w="5706" w:type="dxa"/>
          </w:tcPr>
          <w:p w:rsidR="00296123" w:rsidRPr="00973194" w:rsidRDefault="00296123" w:rsidP="00296123">
            <w:pPr>
              <w:tabs>
                <w:tab w:val="left" w:pos="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2.7. Izdaci za kamate</w:t>
            </w:r>
          </w:p>
        </w:tc>
        <w:tc>
          <w:tcPr>
            <w:tcW w:w="1820" w:type="dxa"/>
          </w:tcPr>
          <w:p w:rsidR="00296123" w:rsidRPr="00973194" w:rsidRDefault="00DF1666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44.710</w:t>
            </w:r>
          </w:p>
        </w:tc>
        <w:tc>
          <w:tcPr>
            <w:tcW w:w="1451" w:type="dxa"/>
          </w:tcPr>
          <w:p w:rsidR="00296123" w:rsidRPr="00973194" w:rsidRDefault="002230A6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36.512</w:t>
            </w:r>
          </w:p>
        </w:tc>
        <w:tc>
          <w:tcPr>
            <w:tcW w:w="1016" w:type="dxa"/>
          </w:tcPr>
          <w:p w:rsidR="00296123" w:rsidRPr="00973194" w:rsidRDefault="00BA385F" w:rsidP="00296123">
            <w:pPr>
              <w:tabs>
                <w:tab w:val="left" w:pos="90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81,66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3. TEKUĆA BILANCA (1-2)</w:t>
            </w:r>
          </w:p>
        </w:tc>
        <w:tc>
          <w:tcPr>
            <w:tcW w:w="1820" w:type="dxa"/>
          </w:tcPr>
          <w:p w:rsidR="00973194" w:rsidRPr="004C2E0E" w:rsidRDefault="00DF1666" w:rsidP="002230A6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 w:rsidR="002230A6">
              <w:rPr>
                <w:b/>
                <w:sz w:val="22"/>
              </w:rPr>
              <w:t>533.367</w:t>
            </w:r>
          </w:p>
        </w:tc>
        <w:tc>
          <w:tcPr>
            <w:tcW w:w="1451" w:type="dxa"/>
          </w:tcPr>
          <w:p w:rsidR="00973194" w:rsidRPr="004C2E0E" w:rsidRDefault="002230A6" w:rsidP="008D188E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8.04</w:t>
            </w:r>
            <w:r w:rsidR="00BA385F">
              <w:rPr>
                <w:b/>
                <w:sz w:val="22"/>
              </w:rPr>
              <w:t>4.133</w:t>
            </w:r>
          </w:p>
        </w:tc>
        <w:tc>
          <w:tcPr>
            <w:tcW w:w="1016" w:type="dxa"/>
          </w:tcPr>
          <w:p w:rsidR="00973194" w:rsidRPr="004C2E0E" w:rsidRDefault="00BA385F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317,53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7319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 xml:space="preserve">4. PRIMICI OD PRODAJE </w:t>
            </w:r>
            <w:proofErr w:type="spellStart"/>
            <w:r w:rsidRPr="004C2E0E">
              <w:rPr>
                <w:b/>
                <w:sz w:val="22"/>
              </w:rPr>
              <w:t>NEFINANC.IMOVINE</w:t>
            </w:r>
            <w:proofErr w:type="spellEnd"/>
          </w:p>
        </w:tc>
        <w:tc>
          <w:tcPr>
            <w:tcW w:w="1820" w:type="dxa"/>
          </w:tcPr>
          <w:p w:rsidR="00973194" w:rsidRPr="004C2E0E" w:rsidRDefault="00DF166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5.770</w:t>
            </w:r>
          </w:p>
        </w:tc>
        <w:tc>
          <w:tcPr>
            <w:tcW w:w="1451" w:type="dxa"/>
          </w:tcPr>
          <w:p w:rsidR="00973194" w:rsidRPr="004C2E0E" w:rsidRDefault="002230A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6.113</w:t>
            </w:r>
          </w:p>
        </w:tc>
        <w:tc>
          <w:tcPr>
            <w:tcW w:w="1016" w:type="dxa"/>
          </w:tcPr>
          <w:p w:rsidR="00973194" w:rsidRPr="004C2E0E" w:rsidRDefault="00BA385F" w:rsidP="00E92783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105,94</w:t>
            </w:r>
          </w:p>
        </w:tc>
      </w:tr>
      <w:tr w:rsidR="00973194" w:rsidRPr="004C2E0E" w:rsidTr="002230A6">
        <w:trPr>
          <w:trHeight w:val="134"/>
          <w:jc w:val="center"/>
        </w:trPr>
        <w:tc>
          <w:tcPr>
            <w:tcW w:w="5706" w:type="dxa"/>
          </w:tcPr>
          <w:p w:rsidR="00973194" w:rsidRPr="004C2E0E" w:rsidRDefault="00973194" w:rsidP="0097319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 xml:space="preserve">5. IZDACI ZA NABAVKU </w:t>
            </w:r>
            <w:proofErr w:type="spellStart"/>
            <w:r w:rsidRPr="004C2E0E">
              <w:rPr>
                <w:b/>
                <w:sz w:val="22"/>
              </w:rPr>
              <w:t>NEFINANC.IMOVINE</w:t>
            </w:r>
            <w:proofErr w:type="spellEnd"/>
          </w:p>
        </w:tc>
        <w:tc>
          <w:tcPr>
            <w:tcW w:w="1820" w:type="dxa"/>
          </w:tcPr>
          <w:p w:rsidR="00973194" w:rsidRPr="004C2E0E" w:rsidRDefault="002230A6" w:rsidP="00E92783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2.013.847</w:t>
            </w:r>
          </w:p>
        </w:tc>
        <w:tc>
          <w:tcPr>
            <w:tcW w:w="1451" w:type="dxa"/>
          </w:tcPr>
          <w:p w:rsidR="00973194" w:rsidRPr="004C2E0E" w:rsidRDefault="002230A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906.893</w:t>
            </w:r>
          </w:p>
        </w:tc>
        <w:tc>
          <w:tcPr>
            <w:tcW w:w="1016" w:type="dxa"/>
          </w:tcPr>
          <w:p w:rsidR="00973194" w:rsidRPr="004C2E0E" w:rsidRDefault="00BA385F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45,03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6. NETO NABAVKA NEFINANCIJSKE IMOVINE (4-5)</w:t>
            </w:r>
          </w:p>
        </w:tc>
        <w:tc>
          <w:tcPr>
            <w:tcW w:w="1820" w:type="dxa"/>
          </w:tcPr>
          <w:p w:rsidR="00973194" w:rsidRPr="004C2E0E" w:rsidRDefault="00DF1666" w:rsidP="002230A6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2230A6">
              <w:rPr>
                <w:b/>
                <w:sz w:val="22"/>
              </w:rPr>
              <w:t>2.008.077</w:t>
            </w:r>
          </w:p>
        </w:tc>
        <w:tc>
          <w:tcPr>
            <w:tcW w:w="1451" w:type="dxa"/>
          </w:tcPr>
          <w:p w:rsidR="00973194" w:rsidRPr="004C2E0E" w:rsidRDefault="002230A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-900.780</w:t>
            </w:r>
          </w:p>
        </w:tc>
        <w:tc>
          <w:tcPr>
            <w:tcW w:w="1016" w:type="dxa"/>
          </w:tcPr>
          <w:p w:rsidR="00973194" w:rsidRPr="004C2E0E" w:rsidRDefault="00BA385F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44,86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7. UKUPAN SUFICIT/DEFICIT (3+6)</w:t>
            </w:r>
          </w:p>
        </w:tc>
        <w:tc>
          <w:tcPr>
            <w:tcW w:w="1820" w:type="dxa"/>
          </w:tcPr>
          <w:p w:rsidR="00973194" w:rsidRPr="004C2E0E" w:rsidRDefault="00DF166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525.290</w:t>
            </w:r>
          </w:p>
        </w:tc>
        <w:tc>
          <w:tcPr>
            <w:tcW w:w="1451" w:type="dxa"/>
          </w:tcPr>
          <w:p w:rsidR="00973194" w:rsidRPr="004C2E0E" w:rsidRDefault="002230A6" w:rsidP="008D188E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7.143.</w:t>
            </w:r>
            <w:r w:rsidR="00BA385F">
              <w:rPr>
                <w:b/>
                <w:sz w:val="22"/>
              </w:rPr>
              <w:t>353</w:t>
            </w:r>
          </w:p>
        </w:tc>
        <w:tc>
          <w:tcPr>
            <w:tcW w:w="1016" w:type="dxa"/>
          </w:tcPr>
          <w:p w:rsidR="00973194" w:rsidRPr="004C2E0E" w:rsidRDefault="00BA385F" w:rsidP="00FC5F2A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1.359,89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7319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 xml:space="preserve">8. PRIMICI OD </w:t>
            </w:r>
            <w:proofErr w:type="spellStart"/>
            <w:r w:rsidRPr="004C2E0E">
              <w:rPr>
                <w:b/>
                <w:sz w:val="22"/>
              </w:rPr>
              <w:t>FINANC.IMOVINE</w:t>
            </w:r>
            <w:proofErr w:type="spellEnd"/>
            <w:r w:rsidRPr="004C2E0E">
              <w:rPr>
                <w:b/>
                <w:sz w:val="22"/>
              </w:rPr>
              <w:t xml:space="preserve"> I ZADUŽIVANJA</w:t>
            </w:r>
          </w:p>
        </w:tc>
        <w:tc>
          <w:tcPr>
            <w:tcW w:w="1820" w:type="dxa"/>
          </w:tcPr>
          <w:p w:rsidR="00973194" w:rsidRPr="004C2E0E" w:rsidRDefault="00DF166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451" w:type="dxa"/>
          </w:tcPr>
          <w:p w:rsidR="00973194" w:rsidRPr="004C2E0E" w:rsidRDefault="002230A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16" w:type="dxa"/>
          </w:tcPr>
          <w:p w:rsidR="00973194" w:rsidRPr="004C2E0E" w:rsidRDefault="00973194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2230A6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9. IZDACI ZA NABAV</w:t>
            </w:r>
            <w:r w:rsidR="004C2E0E">
              <w:rPr>
                <w:b/>
                <w:sz w:val="22"/>
              </w:rPr>
              <w:t>.</w:t>
            </w:r>
            <w:r w:rsidRPr="004C2E0E">
              <w:rPr>
                <w:b/>
                <w:sz w:val="22"/>
              </w:rPr>
              <w:t>FIN.IMOV</w:t>
            </w:r>
            <w:r w:rsidR="002230A6">
              <w:rPr>
                <w:b/>
                <w:sz w:val="22"/>
              </w:rPr>
              <w:t>.</w:t>
            </w:r>
            <w:r w:rsidRPr="004C2E0E">
              <w:rPr>
                <w:b/>
                <w:sz w:val="22"/>
              </w:rPr>
              <w:t xml:space="preserve">I </w:t>
            </w:r>
            <w:proofErr w:type="spellStart"/>
            <w:r w:rsidRPr="004C2E0E">
              <w:rPr>
                <w:b/>
                <w:sz w:val="22"/>
              </w:rPr>
              <w:t>OTPL.DUGOVA</w:t>
            </w:r>
            <w:proofErr w:type="spellEnd"/>
          </w:p>
        </w:tc>
        <w:tc>
          <w:tcPr>
            <w:tcW w:w="1820" w:type="dxa"/>
          </w:tcPr>
          <w:p w:rsidR="00973194" w:rsidRPr="004C2E0E" w:rsidRDefault="00DF166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518.280</w:t>
            </w:r>
          </w:p>
        </w:tc>
        <w:tc>
          <w:tcPr>
            <w:tcW w:w="1451" w:type="dxa"/>
          </w:tcPr>
          <w:p w:rsidR="00973194" w:rsidRPr="004C2E0E" w:rsidRDefault="002230A6" w:rsidP="004C2E0E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514.992</w:t>
            </w:r>
          </w:p>
        </w:tc>
        <w:tc>
          <w:tcPr>
            <w:tcW w:w="1016" w:type="dxa"/>
          </w:tcPr>
          <w:p w:rsidR="00973194" w:rsidRPr="004C2E0E" w:rsidRDefault="00BA385F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99,37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10. NETO FINANCIRANJE (8-9)</w:t>
            </w:r>
          </w:p>
        </w:tc>
        <w:tc>
          <w:tcPr>
            <w:tcW w:w="1820" w:type="dxa"/>
          </w:tcPr>
          <w:p w:rsidR="00973194" w:rsidRPr="004C2E0E" w:rsidRDefault="00DF166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-518.280</w:t>
            </w:r>
          </w:p>
        </w:tc>
        <w:tc>
          <w:tcPr>
            <w:tcW w:w="1451" w:type="dxa"/>
          </w:tcPr>
          <w:p w:rsidR="00973194" w:rsidRPr="004C2E0E" w:rsidRDefault="002230A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-514.992</w:t>
            </w:r>
          </w:p>
        </w:tc>
        <w:tc>
          <w:tcPr>
            <w:tcW w:w="1016" w:type="dxa"/>
          </w:tcPr>
          <w:p w:rsidR="00973194" w:rsidRPr="004C2E0E" w:rsidRDefault="00BA385F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99,37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11. UKUPAN FINANCIJSKI REZULTAT (7+10)</w:t>
            </w:r>
          </w:p>
        </w:tc>
        <w:tc>
          <w:tcPr>
            <w:tcW w:w="1820" w:type="dxa"/>
          </w:tcPr>
          <w:p w:rsidR="00973194" w:rsidRPr="004C2E0E" w:rsidRDefault="00DF166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7.010</w:t>
            </w:r>
          </w:p>
        </w:tc>
        <w:tc>
          <w:tcPr>
            <w:tcW w:w="1451" w:type="dxa"/>
          </w:tcPr>
          <w:p w:rsidR="00973194" w:rsidRPr="004C2E0E" w:rsidRDefault="002230A6" w:rsidP="008D188E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6.628.</w:t>
            </w:r>
            <w:r w:rsidR="00BA385F">
              <w:rPr>
                <w:b/>
                <w:sz w:val="22"/>
              </w:rPr>
              <w:t>361</w:t>
            </w:r>
          </w:p>
        </w:tc>
        <w:tc>
          <w:tcPr>
            <w:tcW w:w="1016" w:type="dxa"/>
          </w:tcPr>
          <w:p w:rsidR="00973194" w:rsidRPr="00115391" w:rsidRDefault="00BA385F" w:rsidP="008D188E">
            <w:pPr>
              <w:tabs>
                <w:tab w:val="left" w:pos="9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94.555,79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</w:tcPr>
          <w:p w:rsidR="00973194" w:rsidRPr="004C2E0E" w:rsidRDefault="00973194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20" w:type="dxa"/>
          </w:tcPr>
          <w:p w:rsidR="00973194" w:rsidRPr="004C2E0E" w:rsidRDefault="00973194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1451" w:type="dxa"/>
          </w:tcPr>
          <w:p w:rsidR="00973194" w:rsidRPr="004C2E0E" w:rsidRDefault="00973194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1016" w:type="dxa"/>
          </w:tcPr>
          <w:p w:rsidR="00973194" w:rsidRPr="004C2E0E" w:rsidRDefault="00973194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  <w:shd w:val="clear" w:color="auto" w:fill="D9D9D9" w:themeFill="background1" w:themeFillShade="D9"/>
          </w:tcPr>
          <w:p w:rsidR="00973194" w:rsidRPr="004C2E0E" w:rsidRDefault="00973194" w:rsidP="004C2E0E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A. UKUPNO PRIHODI, PRIMICI I FINANCIR</w:t>
            </w:r>
            <w:r w:rsidR="004C2E0E">
              <w:rPr>
                <w:b/>
                <w:sz w:val="22"/>
              </w:rPr>
              <w:t>.</w:t>
            </w:r>
            <w:r w:rsidRPr="004C2E0E">
              <w:rPr>
                <w:b/>
                <w:sz w:val="22"/>
              </w:rPr>
              <w:t>(1+4+8)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973194" w:rsidRPr="004C2E0E" w:rsidRDefault="00DF1666" w:rsidP="002230A6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43.</w:t>
            </w:r>
            <w:r w:rsidR="002230A6">
              <w:rPr>
                <w:b/>
                <w:sz w:val="22"/>
              </w:rPr>
              <w:t>600</w:t>
            </w:r>
            <w:r>
              <w:rPr>
                <w:b/>
                <w:sz w:val="22"/>
              </w:rPr>
              <w:t>.</w:t>
            </w:r>
            <w:r w:rsidR="002230A6">
              <w:rPr>
                <w:b/>
                <w:sz w:val="22"/>
              </w:rPr>
              <w:t>016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973194" w:rsidRPr="004C2E0E" w:rsidRDefault="002230A6" w:rsidP="008D188E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35.918.77</w:t>
            </w:r>
            <w:r w:rsidR="00BA385F">
              <w:rPr>
                <w:b/>
                <w:sz w:val="22"/>
              </w:rPr>
              <w:t>7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973194" w:rsidRPr="004C2E0E" w:rsidRDefault="00BA385F" w:rsidP="008D188E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82,38</w:t>
            </w:r>
          </w:p>
        </w:tc>
      </w:tr>
      <w:tr w:rsidR="00973194" w:rsidRPr="004C2E0E" w:rsidTr="002230A6">
        <w:trPr>
          <w:jc w:val="center"/>
        </w:trPr>
        <w:tc>
          <w:tcPr>
            <w:tcW w:w="5706" w:type="dxa"/>
            <w:shd w:val="clear" w:color="auto" w:fill="D9D9D9" w:themeFill="background1" w:themeFillShade="D9"/>
          </w:tcPr>
          <w:p w:rsidR="00973194" w:rsidRPr="004C2E0E" w:rsidRDefault="00973194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>B. UKUPNO RASHODI I IZDACI (2+5+9)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973194" w:rsidRPr="004C2E0E" w:rsidRDefault="00DF1666" w:rsidP="002230A6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43.</w:t>
            </w:r>
            <w:r w:rsidR="002230A6">
              <w:rPr>
                <w:b/>
                <w:sz w:val="22"/>
              </w:rPr>
              <w:t>593</w:t>
            </w:r>
            <w:r>
              <w:rPr>
                <w:b/>
                <w:sz w:val="22"/>
              </w:rPr>
              <w:t>.</w:t>
            </w:r>
            <w:r w:rsidR="002230A6">
              <w:rPr>
                <w:b/>
                <w:sz w:val="22"/>
              </w:rPr>
              <w:t>006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973194" w:rsidRPr="004C2E0E" w:rsidRDefault="002230A6" w:rsidP="004C2E0E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29.290.</w:t>
            </w:r>
            <w:r w:rsidR="00BA385F">
              <w:rPr>
                <w:b/>
                <w:sz w:val="22"/>
              </w:rPr>
              <w:t>416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973194" w:rsidRPr="004C2E0E" w:rsidRDefault="00BA385F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67,19</w:t>
            </w:r>
          </w:p>
        </w:tc>
      </w:tr>
      <w:tr w:rsidR="00115391" w:rsidRPr="004C2E0E" w:rsidTr="002230A6">
        <w:trPr>
          <w:jc w:val="center"/>
        </w:trPr>
        <w:tc>
          <w:tcPr>
            <w:tcW w:w="5706" w:type="dxa"/>
            <w:shd w:val="clear" w:color="auto" w:fill="D9D9D9" w:themeFill="background1" w:themeFillShade="D9"/>
          </w:tcPr>
          <w:p w:rsidR="00115391" w:rsidRPr="004C2E0E" w:rsidRDefault="00115391" w:rsidP="009554E4">
            <w:pPr>
              <w:tabs>
                <w:tab w:val="left" w:pos="900"/>
              </w:tabs>
              <w:jc w:val="both"/>
              <w:rPr>
                <w:b/>
                <w:sz w:val="22"/>
              </w:rPr>
            </w:pPr>
            <w:r w:rsidRPr="004C2E0E">
              <w:rPr>
                <w:b/>
                <w:sz w:val="22"/>
              </w:rPr>
              <w:t xml:space="preserve">C. POKRIĆE </w:t>
            </w:r>
            <w:r w:rsidR="001D2AA8">
              <w:rPr>
                <w:b/>
                <w:sz w:val="22"/>
              </w:rPr>
              <w:t xml:space="preserve">AKUMULIRANOG </w:t>
            </w:r>
            <w:r w:rsidRPr="004C2E0E">
              <w:rPr>
                <w:b/>
                <w:sz w:val="22"/>
              </w:rPr>
              <w:t>DEFICITA (A-B)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:rsidR="00115391" w:rsidRPr="004C2E0E" w:rsidRDefault="00DF1666" w:rsidP="00973194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7.010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115391" w:rsidRPr="004C2E0E" w:rsidRDefault="002230A6" w:rsidP="008D188E">
            <w:pPr>
              <w:tabs>
                <w:tab w:val="left" w:pos="900"/>
              </w:tabs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6.628.</w:t>
            </w:r>
            <w:r w:rsidR="00BA385F">
              <w:rPr>
                <w:b/>
                <w:sz w:val="22"/>
              </w:rPr>
              <w:t>361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:rsidR="00115391" w:rsidRPr="00115391" w:rsidRDefault="00BA385F" w:rsidP="008D188E">
            <w:pPr>
              <w:tabs>
                <w:tab w:val="left" w:pos="9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94.555,79</w:t>
            </w:r>
          </w:p>
        </w:tc>
      </w:tr>
    </w:tbl>
    <w:p w:rsidR="009554E4" w:rsidRDefault="009554E4" w:rsidP="00C84C95">
      <w:pPr>
        <w:jc w:val="center"/>
      </w:pPr>
    </w:p>
    <w:p w:rsidR="009554E4" w:rsidRDefault="009554E4" w:rsidP="009554E4">
      <w:pPr>
        <w:pStyle w:val="Podnoje"/>
        <w:pBdr>
          <w:top w:val="single" w:sz="4" w:space="1" w:color="auto"/>
        </w:pBdr>
        <w:ind w:right="36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e-mail: </w:t>
      </w:r>
      <w:hyperlink r:id="rId9" w:history="1">
        <w:r w:rsidRPr="00E37610">
          <w:rPr>
            <w:rStyle w:val="Hiperveza"/>
            <w:sz w:val="14"/>
            <w:szCs w:val="14"/>
          </w:rPr>
          <w:t>financije.zp@tel.net.ba</w:t>
        </w:r>
      </w:hyperlink>
    </w:p>
    <w:p w:rsidR="009554E4" w:rsidRDefault="009554E4" w:rsidP="009554E4">
      <w:pPr>
        <w:pStyle w:val="Podnoje"/>
        <w:ind w:right="360"/>
        <w:jc w:val="center"/>
        <w:rPr>
          <w:sz w:val="14"/>
          <w:szCs w:val="14"/>
        </w:rPr>
      </w:pPr>
      <w:proofErr w:type="spellStart"/>
      <w:r>
        <w:rPr>
          <w:sz w:val="14"/>
          <w:szCs w:val="14"/>
        </w:rPr>
        <w:t>Tel</w:t>
      </w:r>
      <w:proofErr w:type="spellEnd"/>
      <w:r>
        <w:rPr>
          <w:sz w:val="14"/>
          <w:szCs w:val="14"/>
        </w:rPr>
        <w:t xml:space="preserve">.: +387 (0) 31 713 129, </w:t>
      </w:r>
      <w:proofErr w:type="spellStart"/>
      <w:r>
        <w:rPr>
          <w:sz w:val="14"/>
          <w:szCs w:val="14"/>
        </w:rPr>
        <w:t>Cent</w:t>
      </w:r>
      <w:proofErr w:type="spellEnd"/>
      <w:r>
        <w:rPr>
          <w:sz w:val="14"/>
          <w:szCs w:val="14"/>
        </w:rPr>
        <w:t>. +387 (0) 31 713 265</w:t>
      </w:r>
    </w:p>
    <w:p w:rsidR="009554E4" w:rsidRDefault="009554E4" w:rsidP="009554E4">
      <w:pPr>
        <w:pStyle w:val="Podnoje"/>
        <w:ind w:right="360"/>
        <w:jc w:val="center"/>
        <w:rPr>
          <w:sz w:val="14"/>
          <w:szCs w:val="14"/>
        </w:rPr>
      </w:pPr>
      <w:proofErr w:type="spellStart"/>
      <w:r>
        <w:rPr>
          <w:sz w:val="14"/>
          <w:szCs w:val="14"/>
        </w:rPr>
        <w:t>Fax</w:t>
      </w:r>
      <w:proofErr w:type="spellEnd"/>
      <w:r>
        <w:rPr>
          <w:sz w:val="14"/>
          <w:szCs w:val="14"/>
        </w:rPr>
        <w:t>: +387 (0) 31 713 932</w:t>
      </w:r>
    </w:p>
    <w:p w:rsidR="009554E4" w:rsidRPr="00642691" w:rsidRDefault="009554E4" w:rsidP="009554E4">
      <w:pPr>
        <w:pStyle w:val="Podnoje"/>
        <w:ind w:right="36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Orašje, Jug II </w:t>
      </w:r>
      <w:proofErr w:type="spellStart"/>
      <w:r>
        <w:rPr>
          <w:sz w:val="14"/>
          <w:szCs w:val="14"/>
        </w:rPr>
        <w:t>bb</w:t>
      </w:r>
      <w:proofErr w:type="spellEnd"/>
      <w:r>
        <w:rPr>
          <w:sz w:val="14"/>
          <w:szCs w:val="14"/>
        </w:rPr>
        <w:t xml:space="preserve"> Obilaznica</w:t>
      </w:r>
    </w:p>
    <w:p w:rsidR="009554E4" w:rsidRPr="0039609A" w:rsidRDefault="00283491" w:rsidP="00283491">
      <w:pPr>
        <w:rPr>
          <w:b/>
        </w:rPr>
      </w:pPr>
      <w:r>
        <w:rPr>
          <w:b/>
        </w:rPr>
        <w:lastRenderedPageBreak/>
        <w:t>0</w:t>
      </w:r>
      <w:r>
        <w:rPr>
          <w:b/>
        </w:rPr>
        <w:tab/>
        <w:t>UVOD</w:t>
      </w:r>
    </w:p>
    <w:p w:rsidR="009554E4" w:rsidRPr="00C154C7" w:rsidRDefault="009554E4" w:rsidP="009554E4">
      <w:pPr>
        <w:rPr>
          <w:sz w:val="16"/>
          <w:szCs w:val="16"/>
        </w:rPr>
      </w:pPr>
    </w:p>
    <w:p w:rsidR="007077B9" w:rsidRDefault="007077B9" w:rsidP="00601F3E">
      <w:pPr>
        <w:jc w:val="both"/>
      </w:pPr>
    </w:p>
    <w:p w:rsidR="00741F39" w:rsidRDefault="00601F3E" w:rsidP="00601F3E">
      <w:pPr>
        <w:jc w:val="both"/>
      </w:pPr>
      <w:r>
        <w:t>Na osnovi članka 9</w:t>
      </w:r>
      <w:r w:rsidR="00D65AD2">
        <w:t>0.</w:t>
      </w:r>
      <w:r>
        <w:t xml:space="preserve"> Zakona o proračunima u Federaciji Bosne i Hercegovine („Službene novine Federacije BiH“, broj: 102/13</w:t>
      </w:r>
      <w:r w:rsidR="00BA16A3">
        <w:t>, 9/14</w:t>
      </w:r>
      <w:r w:rsidR="00D65AD2">
        <w:t>,</w:t>
      </w:r>
      <w:r>
        <w:t xml:space="preserve"> 13/14</w:t>
      </w:r>
      <w:r w:rsidR="00D65AD2">
        <w:t>, 8/15, 91/15</w:t>
      </w:r>
      <w:r w:rsidR="00C07EBC">
        <w:t>,</w:t>
      </w:r>
      <w:r w:rsidR="00D65AD2">
        <w:t xml:space="preserve"> 102/15</w:t>
      </w:r>
      <w:r w:rsidR="00816B9D">
        <w:t>,</w:t>
      </w:r>
      <w:r w:rsidR="00C07EBC">
        <w:t xml:space="preserve"> 104/16</w:t>
      </w:r>
      <w:r w:rsidR="001D2AA8">
        <w:t>,</w:t>
      </w:r>
      <w:r w:rsidR="00816B9D">
        <w:t xml:space="preserve"> 5/18</w:t>
      </w:r>
      <w:r w:rsidR="00E36B0D">
        <w:t>,</w:t>
      </w:r>
      <w:r w:rsidR="001D2AA8">
        <w:t xml:space="preserve"> 11/19</w:t>
      </w:r>
      <w:r w:rsidR="00E36B0D">
        <w:t xml:space="preserve"> i 99/19</w:t>
      </w:r>
      <w:r>
        <w:t xml:space="preserve">) Ministarstvo financija </w:t>
      </w:r>
      <w:r w:rsidR="00E36B0D">
        <w:t xml:space="preserve">Županije Posavske </w:t>
      </w:r>
      <w:r>
        <w:t xml:space="preserve">dužno je podnositi Vladi </w:t>
      </w:r>
      <w:r w:rsidR="00E36B0D">
        <w:t xml:space="preserve">Županije Posavske </w:t>
      </w:r>
      <w:r w:rsidR="00D65AD2">
        <w:t xml:space="preserve">na razmatranje periodična </w:t>
      </w:r>
      <w:r>
        <w:t xml:space="preserve">konsolidirana </w:t>
      </w:r>
      <w:r w:rsidR="00D65AD2">
        <w:t>financijska</w:t>
      </w:r>
      <w:r>
        <w:t xml:space="preserve"> izvješća </w:t>
      </w:r>
      <w:r w:rsidR="00D65AD2">
        <w:t xml:space="preserve">u roku 40 dana po isteku obračunskog razdoblja, a za razdoblje od </w:t>
      </w:r>
      <w:r w:rsidR="009E10B7">
        <w:t>01.01.</w:t>
      </w:r>
      <w:r w:rsidR="00D65AD2">
        <w:t xml:space="preserve"> do 31.</w:t>
      </w:r>
      <w:r w:rsidR="009E10B7">
        <w:t>12.</w:t>
      </w:r>
      <w:r w:rsidR="00D65AD2">
        <w:t xml:space="preserve"> do 25. travnja tekuće godine</w:t>
      </w:r>
      <w:r>
        <w:t>.</w:t>
      </w:r>
    </w:p>
    <w:p w:rsidR="00741F39" w:rsidRPr="007077B9" w:rsidRDefault="00741F39" w:rsidP="00601F3E">
      <w:pPr>
        <w:jc w:val="both"/>
        <w:rPr>
          <w:szCs w:val="24"/>
        </w:rPr>
      </w:pPr>
    </w:p>
    <w:p w:rsidR="00601F3E" w:rsidRDefault="00601F3E" w:rsidP="00601F3E">
      <w:pPr>
        <w:jc w:val="both"/>
      </w:pPr>
      <w:r>
        <w:t>Izvršenje proračuna Županije Posavske vršeno je na temelju Zakona o proračunima u Federaciji Bosne i Hercegovine («Službene novine Federacije BiH», broj: 102/13</w:t>
      </w:r>
      <w:r w:rsidR="00BA16A3">
        <w:t>, 9/14</w:t>
      </w:r>
      <w:r w:rsidR="00D65AD2">
        <w:t>,</w:t>
      </w:r>
      <w:r>
        <w:t xml:space="preserve"> 13/14</w:t>
      </w:r>
      <w:r w:rsidR="00D65AD2">
        <w:t>, 8/15, 91/15</w:t>
      </w:r>
      <w:r w:rsidR="00C07EBC">
        <w:t>,</w:t>
      </w:r>
      <w:r w:rsidR="00D65AD2">
        <w:t xml:space="preserve"> 102/15</w:t>
      </w:r>
      <w:r w:rsidR="00816B9D">
        <w:t>,</w:t>
      </w:r>
      <w:r w:rsidR="00C07EBC">
        <w:t xml:space="preserve"> 104/16</w:t>
      </w:r>
      <w:r w:rsidR="001D2AA8">
        <w:t>,</w:t>
      </w:r>
      <w:r w:rsidR="00816B9D">
        <w:t xml:space="preserve"> 5/18</w:t>
      </w:r>
      <w:r w:rsidR="00E36B0D">
        <w:t>,</w:t>
      </w:r>
      <w:r w:rsidR="001D2AA8">
        <w:t xml:space="preserve"> 11/19</w:t>
      </w:r>
      <w:r w:rsidR="00E36B0D">
        <w:t xml:space="preserve"> i 99/19</w:t>
      </w:r>
      <w:r>
        <w:t xml:space="preserve">), Zakona o riznici u Federaciji BiH («Službene novine Federacije BiH», broj: </w:t>
      </w:r>
      <w:r w:rsidR="00D65AD2">
        <w:t>26/16</w:t>
      </w:r>
      <w:r>
        <w:t>) i Zakona o izvršavanju Proračuna Županije Posavske za 20</w:t>
      </w:r>
      <w:r w:rsidR="00E36B0D">
        <w:t>20</w:t>
      </w:r>
      <w:r>
        <w:t xml:space="preserve">.godinu («Narodne novine Županije Posavske», broj: </w:t>
      </w:r>
      <w:r w:rsidR="00E36B0D">
        <w:t>15</w:t>
      </w:r>
      <w:r w:rsidR="001D2AA8">
        <w:t>/1</w:t>
      </w:r>
      <w:r w:rsidR="00E36B0D">
        <w:t>9</w:t>
      </w:r>
      <w:r w:rsidR="00DF1666">
        <w:t xml:space="preserve"> i 6/20</w:t>
      </w:r>
      <w:r>
        <w:t>).</w:t>
      </w:r>
    </w:p>
    <w:p w:rsidR="009554E4" w:rsidRPr="007077B9" w:rsidRDefault="009554E4" w:rsidP="009554E4">
      <w:pPr>
        <w:jc w:val="both"/>
        <w:rPr>
          <w:szCs w:val="24"/>
        </w:rPr>
      </w:pPr>
    </w:p>
    <w:p w:rsidR="007077B9" w:rsidRDefault="009554E4" w:rsidP="006E754C">
      <w:pPr>
        <w:pStyle w:val="StandardWeb"/>
        <w:spacing w:before="0" w:beforeAutospacing="0" w:after="0" w:afterAutospacing="0"/>
        <w:jc w:val="both"/>
      </w:pPr>
      <w:r>
        <w:t xml:space="preserve">U </w:t>
      </w:r>
      <w:r w:rsidR="00816B9D">
        <w:t>prosincu</w:t>
      </w:r>
      <w:r>
        <w:t xml:space="preserve"> 201</w:t>
      </w:r>
      <w:r w:rsidR="00E36B0D">
        <w:t>9</w:t>
      </w:r>
      <w:r>
        <w:t>. godine usvojen je Proračun Županije Posavske za fiskalnu 20</w:t>
      </w:r>
      <w:r w:rsidR="00067289">
        <w:t>20</w:t>
      </w:r>
      <w:r>
        <w:t xml:space="preserve">. godinu („Narodne novine Županije Posavske“, broj: </w:t>
      </w:r>
      <w:r w:rsidR="00067289">
        <w:t>15/19</w:t>
      </w:r>
      <w:r>
        <w:t>)</w:t>
      </w:r>
      <w:r w:rsidR="00601F3E">
        <w:t>, kojim se planiraju prihodi</w:t>
      </w:r>
      <w:r w:rsidR="004C2E0E">
        <w:t>,</w:t>
      </w:r>
      <w:r w:rsidR="00601F3E">
        <w:t xml:space="preserve"> primici</w:t>
      </w:r>
      <w:r w:rsidR="004C2E0E">
        <w:t xml:space="preserve"> i financiranje</w:t>
      </w:r>
      <w:r w:rsidR="00601F3E">
        <w:t xml:space="preserve"> u iznosu od </w:t>
      </w:r>
      <w:r w:rsidR="00067289">
        <w:t>43.409.760</w:t>
      </w:r>
      <w:r w:rsidR="00601F3E">
        <w:t xml:space="preserve"> KM</w:t>
      </w:r>
      <w:r w:rsidR="004C2E0E">
        <w:t>,</w:t>
      </w:r>
      <w:r w:rsidR="00601F3E">
        <w:t xml:space="preserve"> te proračunski </w:t>
      </w:r>
      <w:r w:rsidR="004C2E0E">
        <w:t xml:space="preserve">rashodi i </w:t>
      </w:r>
      <w:r w:rsidR="00601F3E">
        <w:t>izdaci</w:t>
      </w:r>
      <w:r>
        <w:t xml:space="preserve"> u iznosu od </w:t>
      </w:r>
      <w:r w:rsidR="00067289">
        <w:t>43.396.460</w:t>
      </w:r>
      <w:r w:rsidR="0065574A">
        <w:t xml:space="preserve"> </w:t>
      </w:r>
      <w:r>
        <w:t>KM.</w:t>
      </w:r>
      <w:r w:rsidR="00520D6A">
        <w:t xml:space="preserve"> </w:t>
      </w:r>
      <w:r w:rsidR="00975B63">
        <w:t>Planirana r</w:t>
      </w:r>
      <w:r w:rsidR="00584EC4">
        <w:t xml:space="preserve">azlika između planiranih prihoda i rashoda za pokriće deficita iz prethodnih godina </w:t>
      </w:r>
      <w:r w:rsidR="00520D6A">
        <w:t>iznosi</w:t>
      </w:r>
      <w:r w:rsidR="00DF1666">
        <w:t>la je</w:t>
      </w:r>
      <w:r w:rsidR="00584EC4">
        <w:t xml:space="preserve"> </w:t>
      </w:r>
      <w:r w:rsidR="00067289">
        <w:t>13.300</w:t>
      </w:r>
      <w:r w:rsidR="00584EC4">
        <w:t xml:space="preserve"> KM.</w:t>
      </w:r>
      <w:r w:rsidR="00115391">
        <w:t xml:space="preserve"> </w:t>
      </w:r>
    </w:p>
    <w:p w:rsidR="007077B9" w:rsidRDefault="007077B9" w:rsidP="006E754C">
      <w:pPr>
        <w:pStyle w:val="StandardWeb"/>
        <w:spacing w:before="0" w:beforeAutospacing="0" w:after="0" w:afterAutospacing="0"/>
        <w:jc w:val="both"/>
      </w:pPr>
    </w:p>
    <w:p w:rsidR="00907716" w:rsidRDefault="00DF1666" w:rsidP="006E754C">
      <w:pPr>
        <w:pStyle w:val="StandardWeb"/>
        <w:spacing w:before="0" w:beforeAutospacing="0" w:after="0" w:afterAutospacing="0"/>
        <w:jc w:val="both"/>
      </w:pPr>
      <w:proofErr w:type="spellStart"/>
      <w:r>
        <w:t>Pandemija</w:t>
      </w:r>
      <w:proofErr w:type="spellEnd"/>
      <w:r>
        <w:t xml:space="preserve"> COVID-19 virusa je od ožujka 2020. godine </w:t>
      </w:r>
      <w:r w:rsidR="006E754C">
        <w:t>proizvela značajne negativne učinke na cjelokupnu ekonomsku aktivnost Bosne i Hercegovine, te je, radi potrebe provođenja hitnih mjera suzbijanja i zaštite od širenja zaraze Skupština Županije Posavske u</w:t>
      </w:r>
      <w:r>
        <w:t xml:space="preserve"> lipnju 2020. godine </w:t>
      </w:r>
      <w:r w:rsidR="006E754C">
        <w:t>usvojila</w:t>
      </w:r>
      <w:r>
        <w:t xml:space="preserve"> Izmjene i dopune Proračuna Županije Posavske</w:t>
      </w:r>
      <w:r w:rsidR="006E754C">
        <w:t>, kao prva u nizu aktivnosti koje se namjeravaju poduzeti. Navedenim izmjenama i dopunama Proračuna Županije Posavske za 2020. godinu</w:t>
      </w:r>
      <w:r>
        <w:t xml:space="preserve"> </w:t>
      </w:r>
      <w:r w:rsidR="006E754C">
        <w:t xml:space="preserve">planirani su prihodi, primici i financiranje u iznosu od 43.586.850 KM, te rashodi i izdaci u iznosu od 43.579.840 KM, dok je planirani suficit smanjen na 7.010 KM. </w:t>
      </w:r>
    </w:p>
    <w:p w:rsidR="00182C7C" w:rsidRDefault="00182C7C" w:rsidP="006E754C">
      <w:pPr>
        <w:pStyle w:val="StandardWeb"/>
        <w:spacing w:before="0" w:beforeAutospacing="0" w:after="0" w:afterAutospacing="0"/>
        <w:jc w:val="both"/>
      </w:pPr>
    </w:p>
    <w:p w:rsidR="00182C7C" w:rsidRDefault="00182C7C" w:rsidP="006E754C">
      <w:pPr>
        <w:pStyle w:val="StandardWeb"/>
        <w:spacing w:before="0" w:beforeAutospacing="0" w:after="0" w:afterAutospacing="0"/>
        <w:jc w:val="both"/>
      </w:pPr>
      <w:r>
        <w:rPr>
          <w:b/>
          <w:i/>
        </w:rPr>
        <w:t xml:space="preserve">U razdoblju od stupanja na snagu Izmjena i dopuna Proračuna Županije Posavske za 2020. godinu (10.06.2020. godine) do 30.09.2020. godine realizirane su tri (3) odluke o unosu i raspoređivanju sredstava u Proračun ŽP za 2020. g., čime se ukupan Proračun povećao za 13.166,00 KM (i prihodovna i rashodovna strana), pa na dan 30.09.20. godine planirani prihodi, primici i financiranje iznose 43.600.016 KM, dok proračunski rashodi i izdaci iznose 43.593.006 KM. Planirani suficit je ostao nepromijenjen. </w:t>
      </w:r>
      <w:r w:rsidRPr="00182C7C">
        <w:t>Osim navedenog, u istom razdoblju izvršeno je šest (6) odluka o unutarnjem prestrukturiranju rashoda, što je dovelo do</w:t>
      </w:r>
      <w:r>
        <w:rPr>
          <w:b/>
          <w:i/>
        </w:rPr>
        <w:t xml:space="preserve"> </w:t>
      </w:r>
      <w:r>
        <w:t>manjih</w:t>
      </w:r>
      <w:r w:rsidRPr="00A12B5C">
        <w:t xml:space="preserve"> promjena </w:t>
      </w:r>
      <w:r>
        <w:t>u unutarnjoj strukturi rashoda kod pojedinih</w:t>
      </w:r>
      <w:r w:rsidRPr="00A12B5C">
        <w:t xml:space="preserve"> proračunskih korisnika</w:t>
      </w:r>
    </w:p>
    <w:p w:rsidR="0065574A" w:rsidRPr="007077B9" w:rsidRDefault="0065574A" w:rsidP="009554E4">
      <w:pPr>
        <w:jc w:val="both"/>
        <w:rPr>
          <w:szCs w:val="24"/>
        </w:rPr>
      </w:pPr>
    </w:p>
    <w:p w:rsidR="009554E4" w:rsidRDefault="009B127F" w:rsidP="009554E4">
      <w:pPr>
        <w:jc w:val="both"/>
      </w:pPr>
      <w:r>
        <w:t xml:space="preserve">U razdoblju od 01.01. do </w:t>
      </w:r>
      <w:r w:rsidR="006E754C">
        <w:t>30</w:t>
      </w:r>
      <w:r w:rsidR="009554E4">
        <w:t>.0</w:t>
      </w:r>
      <w:r w:rsidR="00182C7C">
        <w:t>9</w:t>
      </w:r>
      <w:r w:rsidR="009554E4">
        <w:t>.20</w:t>
      </w:r>
      <w:r w:rsidR="00067289">
        <w:t>20</w:t>
      </w:r>
      <w:r w:rsidR="009554E4">
        <w:t>. godine ostvareni su prihodi</w:t>
      </w:r>
      <w:r w:rsidR="004C2E0E">
        <w:t xml:space="preserve">, </w:t>
      </w:r>
      <w:r w:rsidR="009554E4">
        <w:t xml:space="preserve">primici </w:t>
      </w:r>
      <w:r w:rsidR="004C2E0E">
        <w:t xml:space="preserve">i financiranje </w:t>
      </w:r>
      <w:r w:rsidR="009554E4">
        <w:t xml:space="preserve">u iznosu od </w:t>
      </w:r>
      <w:r w:rsidR="00182C7C">
        <w:t>35.918.77</w:t>
      </w:r>
      <w:r w:rsidR="00BA385F">
        <w:t>7</w:t>
      </w:r>
      <w:r w:rsidR="009554E4">
        <w:t xml:space="preserve"> KM</w:t>
      </w:r>
      <w:r w:rsidR="00601F3E">
        <w:t>,</w:t>
      </w:r>
      <w:r w:rsidR="009554E4">
        <w:t xml:space="preserve"> dok su rashodi i izdaci izvršeni u iznosu od </w:t>
      </w:r>
      <w:r w:rsidR="00182C7C">
        <w:t>29.290.</w:t>
      </w:r>
      <w:r w:rsidR="00BA385F">
        <w:t>416</w:t>
      </w:r>
      <w:r w:rsidR="009554E4">
        <w:t xml:space="preserve"> KM</w:t>
      </w:r>
      <w:r w:rsidR="00601F3E">
        <w:t>,</w:t>
      </w:r>
      <w:r w:rsidR="009554E4">
        <w:t xml:space="preserve"> tako da ra</w:t>
      </w:r>
      <w:r w:rsidR="004C2E0E">
        <w:t>zlika između ostvarenih prihoda,</w:t>
      </w:r>
      <w:r w:rsidR="009554E4">
        <w:t xml:space="preserve"> primitaka</w:t>
      </w:r>
      <w:r w:rsidR="004C2E0E">
        <w:t xml:space="preserve"> i financiranja</w:t>
      </w:r>
      <w:r w:rsidR="009554E4">
        <w:t xml:space="preserve"> i izvršenih rashoda i izdataka iznosi </w:t>
      </w:r>
      <w:r w:rsidR="00182C7C">
        <w:t>6.628.</w:t>
      </w:r>
      <w:r w:rsidR="00BA385F">
        <w:t>361</w:t>
      </w:r>
      <w:r w:rsidR="009554E4">
        <w:t xml:space="preserve"> KM.</w:t>
      </w:r>
    </w:p>
    <w:p w:rsidR="009554E4" w:rsidRPr="00C154C7" w:rsidRDefault="009554E4" w:rsidP="009554E4">
      <w:pPr>
        <w:jc w:val="both"/>
        <w:rPr>
          <w:sz w:val="12"/>
          <w:szCs w:val="12"/>
        </w:rPr>
      </w:pPr>
    </w:p>
    <w:p w:rsidR="009554E4" w:rsidRDefault="009554E4" w:rsidP="009554E4">
      <w:pPr>
        <w:jc w:val="both"/>
      </w:pPr>
      <w:r>
        <w:t>Ostvarenje prihoda i rashoda Proračuna Županije Posavske u razdoblju siječanj-</w:t>
      </w:r>
      <w:r w:rsidR="00182C7C">
        <w:t>rujan</w:t>
      </w:r>
      <w:r w:rsidR="00520D6A">
        <w:t xml:space="preserve"> </w:t>
      </w:r>
      <w:r>
        <w:t>20</w:t>
      </w:r>
      <w:r w:rsidR="00067289">
        <w:t>20</w:t>
      </w:r>
      <w:r>
        <w:t>. godine po mjesecima kumulativno prikazano je na Grafu 1.</w:t>
      </w:r>
    </w:p>
    <w:p w:rsidR="009554E4" w:rsidRPr="00C154C7" w:rsidRDefault="009554E4" w:rsidP="009554E4">
      <w:pPr>
        <w:jc w:val="both"/>
        <w:rPr>
          <w:sz w:val="16"/>
          <w:szCs w:val="16"/>
        </w:rPr>
      </w:pPr>
    </w:p>
    <w:p w:rsidR="009554E4" w:rsidRDefault="009554E4" w:rsidP="009554E4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4301067" cy="2319867"/>
            <wp:effectExtent l="19050" t="0" r="23283" b="4233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54E4" w:rsidRDefault="009554E4" w:rsidP="009554E4">
      <w:pPr>
        <w:jc w:val="center"/>
        <w:rPr>
          <w:sz w:val="20"/>
          <w:szCs w:val="20"/>
        </w:rPr>
      </w:pPr>
      <w:r w:rsidRPr="00633355">
        <w:rPr>
          <w:sz w:val="20"/>
          <w:szCs w:val="20"/>
        </w:rPr>
        <w:t>Graf 1. Ostvarenje prihoda i rashoda Proračuna Županije Posavske u razdoblju 01.01.-</w:t>
      </w:r>
      <w:r w:rsidR="006E754C">
        <w:rPr>
          <w:sz w:val="20"/>
          <w:szCs w:val="20"/>
        </w:rPr>
        <w:t>30</w:t>
      </w:r>
      <w:r w:rsidR="0065574A">
        <w:rPr>
          <w:sz w:val="20"/>
          <w:szCs w:val="20"/>
        </w:rPr>
        <w:t>.</w:t>
      </w:r>
      <w:r w:rsidRPr="00633355">
        <w:rPr>
          <w:sz w:val="20"/>
          <w:szCs w:val="20"/>
        </w:rPr>
        <w:t>0</w:t>
      </w:r>
      <w:r w:rsidR="00182C7C">
        <w:rPr>
          <w:sz w:val="20"/>
          <w:szCs w:val="20"/>
        </w:rPr>
        <w:t>9</w:t>
      </w:r>
      <w:r w:rsidRPr="00633355">
        <w:rPr>
          <w:sz w:val="20"/>
          <w:szCs w:val="20"/>
        </w:rPr>
        <w:t>.20</w:t>
      </w:r>
      <w:r w:rsidR="00067289">
        <w:rPr>
          <w:sz w:val="20"/>
          <w:szCs w:val="20"/>
        </w:rPr>
        <w:t>20</w:t>
      </w:r>
      <w:r w:rsidRPr="00633355">
        <w:rPr>
          <w:sz w:val="20"/>
          <w:szCs w:val="20"/>
        </w:rPr>
        <w:t xml:space="preserve">. godine </w:t>
      </w:r>
    </w:p>
    <w:p w:rsidR="009554E4" w:rsidRDefault="009554E4" w:rsidP="009554E4">
      <w:pPr>
        <w:jc w:val="center"/>
        <w:rPr>
          <w:sz w:val="20"/>
          <w:szCs w:val="20"/>
        </w:rPr>
      </w:pPr>
      <w:r w:rsidRPr="00633355">
        <w:rPr>
          <w:sz w:val="20"/>
          <w:szCs w:val="20"/>
        </w:rPr>
        <w:t>po mjesecima, kumulativno (u KM)</w:t>
      </w:r>
    </w:p>
    <w:p w:rsidR="00975B63" w:rsidRDefault="00975B63" w:rsidP="00A5796C">
      <w:pPr>
        <w:jc w:val="both"/>
        <w:rPr>
          <w:szCs w:val="24"/>
        </w:rPr>
      </w:pPr>
    </w:p>
    <w:p w:rsidR="009554E4" w:rsidRDefault="009554E4" w:rsidP="00A5796C">
      <w:pPr>
        <w:jc w:val="both"/>
        <w:rPr>
          <w:szCs w:val="24"/>
        </w:rPr>
      </w:pPr>
      <w:r>
        <w:rPr>
          <w:szCs w:val="24"/>
        </w:rPr>
        <w:t>U nastavku izvješća dat je detaljan pregled ostvarenih prihoda</w:t>
      </w:r>
      <w:r w:rsidR="00F300AC">
        <w:rPr>
          <w:szCs w:val="24"/>
        </w:rPr>
        <w:t>, primitaka i financiranja</w:t>
      </w:r>
      <w:r w:rsidR="00557FE0">
        <w:rPr>
          <w:szCs w:val="24"/>
        </w:rPr>
        <w:t xml:space="preserve"> </w:t>
      </w:r>
      <w:r w:rsidR="00F300AC">
        <w:rPr>
          <w:szCs w:val="24"/>
        </w:rPr>
        <w:t>te</w:t>
      </w:r>
      <w:r>
        <w:rPr>
          <w:szCs w:val="24"/>
        </w:rPr>
        <w:t xml:space="preserve"> izvršenih rashoda </w:t>
      </w:r>
      <w:r w:rsidR="00F300AC">
        <w:rPr>
          <w:szCs w:val="24"/>
        </w:rPr>
        <w:t xml:space="preserve">i izdataka </w:t>
      </w:r>
      <w:r>
        <w:rPr>
          <w:szCs w:val="24"/>
        </w:rPr>
        <w:t xml:space="preserve">Proračuna </w:t>
      </w:r>
      <w:proofErr w:type="spellStart"/>
      <w:r>
        <w:rPr>
          <w:szCs w:val="24"/>
        </w:rPr>
        <w:t>Žup</w:t>
      </w:r>
      <w:r w:rsidR="00F753C8">
        <w:rPr>
          <w:szCs w:val="24"/>
        </w:rPr>
        <w:t>.</w:t>
      </w:r>
      <w:r>
        <w:rPr>
          <w:szCs w:val="24"/>
        </w:rPr>
        <w:t>Posavske</w:t>
      </w:r>
      <w:proofErr w:type="spellEnd"/>
      <w:r>
        <w:rPr>
          <w:szCs w:val="24"/>
        </w:rPr>
        <w:t xml:space="preserve"> za razdoblje 01.01.-</w:t>
      </w:r>
      <w:r w:rsidR="009E10B7">
        <w:rPr>
          <w:szCs w:val="24"/>
        </w:rPr>
        <w:t>30</w:t>
      </w:r>
      <w:r>
        <w:rPr>
          <w:szCs w:val="24"/>
        </w:rPr>
        <w:t>.0</w:t>
      </w:r>
      <w:r w:rsidR="007077B9">
        <w:rPr>
          <w:szCs w:val="24"/>
        </w:rPr>
        <w:t>9</w:t>
      </w:r>
      <w:r>
        <w:rPr>
          <w:szCs w:val="24"/>
        </w:rPr>
        <w:t>.20</w:t>
      </w:r>
      <w:r w:rsidR="00F753C8">
        <w:rPr>
          <w:szCs w:val="24"/>
        </w:rPr>
        <w:t>20</w:t>
      </w:r>
      <w:r>
        <w:rPr>
          <w:szCs w:val="24"/>
        </w:rPr>
        <w:t>. godine.</w:t>
      </w:r>
      <w:r w:rsidR="00283491">
        <w:rPr>
          <w:szCs w:val="24"/>
        </w:rPr>
        <w:t xml:space="preserve"> </w:t>
      </w:r>
    </w:p>
    <w:p w:rsidR="00283491" w:rsidRDefault="00283491" w:rsidP="00A5796C">
      <w:pPr>
        <w:jc w:val="both"/>
        <w:rPr>
          <w:szCs w:val="24"/>
        </w:rPr>
      </w:pPr>
    </w:p>
    <w:p w:rsidR="00283491" w:rsidRDefault="00283491" w:rsidP="00A5796C">
      <w:pPr>
        <w:jc w:val="both"/>
        <w:rPr>
          <w:b/>
          <w:szCs w:val="24"/>
        </w:rPr>
      </w:pPr>
    </w:p>
    <w:p w:rsidR="009554E4" w:rsidRPr="00413791" w:rsidRDefault="00AD16F2" w:rsidP="009554E4">
      <w:pPr>
        <w:jc w:val="both"/>
        <w:rPr>
          <w:b/>
          <w:szCs w:val="24"/>
        </w:rPr>
      </w:pPr>
      <w:r w:rsidRPr="00413791">
        <w:rPr>
          <w:b/>
          <w:szCs w:val="24"/>
        </w:rPr>
        <w:t>1</w:t>
      </w:r>
      <w:r w:rsidR="009554E4" w:rsidRPr="00413791">
        <w:rPr>
          <w:b/>
          <w:szCs w:val="24"/>
        </w:rPr>
        <w:tab/>
      </w:r>
      <w:r w:rsidRPr="00413791">
        <w:rPr>
          <w:b/>
          <w:szCs w:val="24"/>
        </w:rPr>
        <w:t>PRORAČUNSKI PRIHODI</w:t>
      </w:r>
      <w:r w:rsidR="00C154C7" w:rsidRPr="00413791">
        <w:rPr>
          <w:b/>
          <w:szCs w:val="24"/>
        </w:rPr>
        <w:t xml:space="preserve"> (KLASA 7)</w:t>
      </w:r>
    </w:p>
    <w:p w:rsidR="009554E4" w:rsidRDefault="009554E4" w:rsidP="009554E4">
      <w:pPr>
        <w:jc w:val="both"/>
        <w:rPr>
          <w:szCs w:val="24"/>
        </w:rPr>
      </w:pPr>
    </w:p>
    <w:p w:rsidR="009554E4" w:rsidRDefault="009554E4" w:rsidP="009554E4">
      <w:pPr>
        <w:pStyle w:val="Uvuenotijeloteksta"/>
        <w:spacing w:line="240" w:lineRule="auto"/>
        <w:ind w:firstLine="0"/>
      </w:pPr>
      <w:r>
        <w:t xml:space="preserve">Ukupno ostvareni </w:t>
      </w:r>
      <w:r w:rsidR="00741C12">
        <w:t xml:space="preserve">proračunski </w:t>
      </w:r>
      <w:r w:rsidR="00AD16F2">
        <w:t>prihodi</w:t>
      </w:r>
      <w:r w:rsidR="00557FE0">
        <w:t xml:space="preserve"> </w:t>
      </w:r>
      <w:r>
        <w:t>Proračuna Županije Posavske za razdoblje siječanj-</w:t>
      </w:r>
      <w:r w:rsidR="007077B9">
        <w:t>rujan</w:t>
      </w:r>
      <w:r>
        <w:t xml:space="preserve"> 20</w:t>
      </w:r>
      <w:r w:rsidR="00413791">
        <w:t>20</w:t>
      </w:r>
      <w:r>
        <w:t>.</w:t>
      </w:r>
      <w:r w:rsidR="005C0D48">
        <w:t xml:space="preserve"> </w:t>
      </w:r>
      <w:r>
        <w:t xml:space="preserve">godine iznose </w:t>
      </w:r>
      <w:r w:rsidR="007077B9">
        <w:t>35.912.66</w:t>
      </w:r>
      <w:r w:rsidR="00432584">
        <w:t>4</w:t>
      </w:r>
      <w:r>
        <w:t xml:space="preserve"> KM, odnosno </w:t>
      </w:r>
      <w:r w:rsidR="007077B9">
        <w:t>82,38</w:t>
      </w:r>
      <w:r>
        <w:t xml:space="preserve">% u odnosu na planirane </w:t>
      </w:r>
      <w:r w:rsidR="00741C12">
        <w:t xml:space="preserve">proračunske </w:t>
      </w:r>
      <w:r>
        <w:t>prihode fiskalne 20</w:t>
      </w:r>
      <w:r w:rsidR="00413791">
        <w:t>20</w:t>
      </w:r>
      <w:r>
        <w:t>.godine.</w:t>
      </w:r>
    </w:p>
    <w:p w:rsidR="009554E4" w:rsidRDefault="009554E4" w:rsidP="009554E4">
      <w:pPr>
        <w:pStyle w:val="Uvuenotijeloteksta"/>
        <w:spacing w:line="240" w:lineRule="auto"/>
        <w:ind w:firstLine="0"/>
      </w:pPr>
    </w:p>
    <w:p w:rsidR="009554E4" w:rsidRPr="00AA7557" w:rsidRDefault="009554E4" w:rsidP="009554E4">
      <w:pPr>
        <w:pStyle w:val="Uvuenotijeloteksta"/>
        <w:spacing w:line="240" w:lineRule="auto"/>
        <w:ind w:firstLine="0"/>
      </w:pPr>
      <w:r>
        <w:t xml:space="preserve">U odnosu na planirane </w:t>
      </w:r>
      <w:r w:rsidR="00741C12">
        <w:t xml:space="preserve">proračunske </w:t>
      </w:r>
      <w:r>
        <w:t xml:space="preserve">prihode za izvještajno razdoblje postotak ostvarenja je </w:t>
      </w:r>
      <w:r w:rsidR="00570840">
        <w:t>109,84</w:t>
      </w:r>
      <w:r>
        <w:t xml:space="preserve">%, odnosno u apsolutnom iznosu ostvareno je </w:t>
      </w:r>
      <w:r w:rsidR="000F3304">
        <w:t>3.</w:t>
      </w:r>
      <w:r w:rsidR="007077B9">
        <w:t>216</w:t>
      </w:r>
      <w:r w:rsidR="000F3304">
        <w:t>.</w:t>
      </w:r>
      <w:r w:rsidR="007077B9">
        <w:t>9</w:t>
      </w:r>
      <w:r w:rsidR="00432584">
        <w:t>80</w:t>
      </w:r>
      <w:r>
        <w:t xml:space="preserve"> KM </w:t>
      </w:r>
      <w:r w:rsidR="007077B9">
        <w:t>više</w:t>
      </w:r>
      <w:r>
        <w:t xml:space="preserve"> </w:t>
      </w:r>
      <w:r w:rsidR="00741C12">
        <w:t xml:space="preserve">proračunskih </w:t>
      </w:r>
      <w:r>
        <w:t>prihoda.</w:t>
      </w:r>
      <w:r w:rsidR="00557FE0">
        <w:t xml:space="preserve"> </w:t>
      </w:r>
      <w:r>
        <w:t>U odnosu na ostvarene prihode u razdoblju siječanj-</w:t>
      </w:r>
      <w:r w:rsidR="00570840">
        <w:t>rujan</w:t>
      </w:r>
      <w:r>
        <w:t xml:space="preserve"> fiskalne 20</w:t>
      </w:r>
      <w:r w:rsidR="0055508E">
        <w:t>19</w:t>
      </w:r>
      <w:r>
        <w:t xml:space="preserve">. godine </w:t>
      </w:r>
      <w:r w:rsidRPr="00AA7557">
        <w:t xml:space="preserve">ostvareni prihodi </w:t>
      </w:r>
      <w:r w:rsidR="00261B4B">
        <w:t>u istom razdoblju fiskalne 20</w:t>
      </w:r>
      <w:r w:rsidR="0055508E">
        <w:t>20</w:t>
      </w:r>
      <w:r w:rsidRPr="00AA7557">
        <w:t xml:space="preserve">. godine </w:t>
      </w:r>
      <w:r w:rsidR="00570840">
        <w:t>veći</w:t>
      </w:r>
      <w:r w:rsidRPr="00AA7557">
        <w:t xml:space="preserve"> su za</w:t>
      </w:r>
      <w:r w:rsidR="00557FE0">
        <w:t xml:space="preserve"> </w:t>
      </w:r>
      <w:r w:rsidR="00570840">
        <w:t>3.</w:t>
      </w:r>
      <w:r w:rsidR="00432584">
        <w:t>854</w:t>
      </w:r>
      <w:r w:rsidR="00570840">
        <w:t>.</w:t>
      </w:r>
      <w:r w:rsidR="00432584">
        <w:t>009</w:t>
      </w:r>
      <w:r w:rsidR="007B1C26">
        <w:t xml:space="preserve"> KM</w:t>
      </w:r>
      <w:r w:rsidR="00741F39">
        <w:t>,</w:t>
      </w:r>
      <w:r w:rsidRPr="00AA7557">
        <w:t xml:space="preserve"> odnosno </w:t>
      </w:r>
      <w:r w:rsidR="00570840">
        <w:t>12,02</w:t>
      </w:r>
      <w:r w:rsidRPr="00AA7557">
        <w:t xml:space="preserve">% </w:t>
      </w:r>
      <w:r w:rsidR="00570840">
        <w:t>veći</w:t>
      </w:r>
      <w:r w:rsidRPr="00AA7557">
        <w:t>.</w:t>
      </w:r>
    </w:p>
    <w:p w:rsidR="009554E4" w:rsidRPr="00703FB9" w:rsidRDefault="009554E4" w:rsidP="009554E4">
      <w:pPr>
        <w:jc w:val="both"/>
        <w:rPr>
          <w:color w:val="FF0000"/>
        </w:rPr>
      </w:pPr>
    </w:p>
    <w:p w:rsidR="009554E4" w:rsidRDefault="009554E4" w:rsidP="009554E4">
      <w:pPr>
        <w:jc w:val="both"/>
      </w:pPr>
      <w:r w:rsidRPr="00AA7557">
        <w:t xml:space="preserve">Svi prihodi proračuna evidentirani su sukladno Pravilniku o prikupljanju javnih prihoda, što znači da su uplaćivani na depozitni račun javnih prihoda Proračuna i raspoređeni sukladno </w:t>
      </w:r>
      <w:r>
        <w:t>Zakonu o pripadnosti javnih prihoda u Županiji Posavskoj.</w:t>
      </w:r>
    </w:p>
    <w:p w:rsidR="009554E4" w:rsidRDefault="009554E4" w:rsidP="009554E4">
      <w:pPr>
        <w:jc w:val="both"/>
      </w:pPr>
    </w:p>
    <w:p w:rsidR="009554E4" w:rsidRDefault="009554E4" w:rsidP="009554E4">
      <w:pPr>
        <w:jc w:val="both"/>
      </w:pPr>
      <w:r>
        <w:t>Struktura ostvarenih prihoda Proračuna prikazana je u Tablici 1. i Grafu 2.</w:t>
      </w:r>
    </w:p>
    <w:p w:rsidR="009554E4" w:rsidRDefault="009554E4" w:rsidP="009554E4">
      <w:pPr>
        <w:jc w:val="both"/>
      </w:pPr>
    </w:p>
    <w:p w:rsidR="009554E4" w:rsidRPr="00FD3224" w:rsidRDefault="009554E4" w:rsidP="009554E4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t xml:space="preserve">Tablica 1. Struktura ostvarenih prihoda Proračuna </w:t>
      </w:r>
      <w:r w:rsidR="00B10F60">
        <w:rPr>
          <w:sz w:val="20"/>
          <w:szCs w:val="20"/>
        </w:rPr>
        <w:t>ŽP</w:t>
      </w:r>
      <w:r w:rsidRPr="00FD3224">
        <w:rPr>
          <w:sz w:val="20"/>
          <w:szCs w:val="20"/>
        </w:rPr>
        <w:t xml:space="preserve"> u razdoblju 01.01.-</w:t>
      </w:r>
      <w:r w:rsidR="000F3304">
        <w:rPr>
          <w:sz w:val="20"/>
          <w:szCs w:val="20"/>
        </w:rPr>
        <w:t>30</w:t>
      </w:r>
      <w:r w:rsidRPr="00FD3224">
        <w:rPr>
          <w:sz w:val="20"/>
          <w:szCs w:val="20"/>
        </w:rPr>
        <w:t>.</w:t>
      </w:r>
      <w:r w:rsidR="00570840">
        <w:rPr>
          <w:sz w:val="20"/>
          <w:szCs w:val="20"/>
        </w:rPr>
        <w:t>09</w:t>
      </w:r>
      <w:r w:rsidR="00A24189">
        <w:rPr>
          <w:sz w:val="20"/>
          <w:szCs w:val="20"/>
        </w:rPr>
        <w:t>.20</w:t>
      </w:r>
      <w:r w:rsidR="0055508E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4503"/>
        <w:gridCol w:w="3260"/>
        <w:gridCol w:w="1525"/>
      </w:tblGrid>
      <w:tr w:rsidR="009554E4" w:rsidRPr="00A15A60" w:rsidTr="00612567">
        <w:trPr>
          <w:cnfStyle w:val="100000000000"/>
        </w:trPr>
        <w:tc>
          <w:tcPr>
            <w:cnfStyle w:val="001000000100"/>
            <w:tcW w:w="4503" w:type="dxa"/>
            <w:vAlign w:val="center"/>
          </w:tcPr>
          <w:p w:rsidR="009554E4" w:rsidRPr="00A15A60" w:rsidRDefault="009554E4" w:rsidP="00612567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3260" w:type="dxa"/>
          </w:tcPr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9554E4" w:rsidRPr="00A15A60" w:rsidRDefault="009554E4" w:rsidP="00570840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0F3304">
              <w:rPr>
                <w:b/>
                <w:sz w:val="22"/>
              </w:rPr>
              <w:t>30</w:t>
            </w:r>
            <w:r w:rsidR="005C0D48">
              <w:rPr>
                <w:b/>
                <w:sz w:val="22"/>
              </w:rPr>
              <w:t>.</w:t>
            </w:r>
            <w:r w:rsidRPr="00A15A60">
              <w:rPr>
                <w:b/>
                <w:sz w:val="22"/>
              </w:rPr>
              <w:t>0</w:t>
            </w:r>
            <w:r w:rsidR="00570840">
              <w:rPr>
                <w:b/>
                <w:sz w:val="22"/>
              </w:rPr>
              <w:t>9</w:t>
            </w:r>
            <w:r w:rsidRPr="00A15A60">
              <w:rPr>
                <w:b/>
                <w:sz w:val="22"/>
              </w:rPr>
              <w:t>.20</w:t>
            </w:r>
            <w:r w:rsidR="0055508E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>.g. (u KM)</w:t>
            </w:r>
          </w:p>
        </w:tc>
        <w:tc>
          <w:tcPr>
            <w:tcW w:w="1525" w:type="dxa"/>
          </w:tcPr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9554E4" w:rsidRPr="00A15A60" w:rsidTr="005A32CC">
        <w:trPr>
          <w:cnfStyle w:val="000000100000"/>
        </w:trPr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Prihodi od poreza</w:t>
            </w:r>
          </w:p>
        </w:tc>
        <w:tc>
          <w:tcPr>
            <w:tcW w:w="3260" w:type="dxa"/>
          </w:tcPr>
          <w:p w:rsidR="009554E4" w:rsidRPr="00A15A60" w:rsidRDefault="00570840" w:rsidP="00741F39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25.175.572</w:t>
            </w:r>
          </w:p>
        </w:tc>
        <w:tc>
          <w:tcPr>
            <w:tcW w:w="1525" w:type="dxa"/>
          </w:tcPr>
          <w:p w:rsidR="009554E4" w:rsidRPr="00A15A60" w:rsidRDefault="00570840" w:rsidP="00635B68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70,10</w:t>
            </w:r>
          </w:p>
        </w:tc>
      </w:tr>
      <w:tr w:rsidR="009554E4" w:rsidRPr="00A15A60" w:rsidTr="00612567"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Neporezni prihodi</w:t>
            </w:r>
          </w:p>
        </w:tc>
        <w:tc>
          <w:tcPr>
            <w:tcW w:w="3260" w:type="dxa"/>
          </w:tcPr>
          <w:p w:rsidR="009554E4" w:rsidRPr="00A15A60" w:rsidRDefault="00570840" w:rsidP="00432584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1.957.62</w:t>
            </w:r>
            <w:r w:rsidR="00432584">
              <w:rPr>
                <w:sz w:val="22"/>
              </w:rPr>
              <w:t>7</w:t>
            </w:r>
          </w:p>
        </w:tc>
        <w:tc>
          <w:tcPr>
            <w:tcW w:w="1525" w:type="dxa"/>
          </w:tcPr>
          <w:p w:rsidR="009554E4" w:rsidRPr="00A15A60" w:rsidRDefault="00570840" w:rsidP="006A24C4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5,45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4503" w:type="dxa"/>
          </w:tcPr>
          <w:p w:rsidR="009554E4" w:rsidRPr="00A15A60" w:rsidRDefault="009554E4" w:rsidP="0077285E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Tekuć</w:t>
            </w:r>
            <w:r w:rsidR="0077285E">
              <w:rPr>
                <w:sz w:val="22"/>
              </w:rPr>
              <w:t>i</w:t>
            </w:r>
            <w:r w:rsidR="00557FE0">
              <w:rPr>
                <w:sz w:val="22"/>
              </w:rPr>
              <w:t xml:space="preserve"> </w:t>
            </w:r>
            <w:proofErr w:type="spellStart"/>
            <w:r w:rsidR="007B1C26">
              <w:rPr>
                <w:sz w:val="22"/>
              </w:rPr>
              <w:t>grantovi</w:t>
            </w:r>
            <w:proofErr w:type="spellEnd"/>
            <w:r w:rsidR="007B1C26">
              <w:rPr>
                <w:sz w:val="22"/>
              </w:rPr>
              <w:t xml:space="preserve"> (</w:t>
            </w:r>
            <w:proofErr w:type="spellStart"/>
            <w:r w:rsidR="007B1C26">
              <w:rPr>
                <w:sz w:val="22"/>
              </w:rPr>
              <w:t>grantovi</w:t>
            </w:r>
            <w:proofErr w:type="spellEnd"/>
            <w:r w:rsidR="007B1C26">
              <w:rPr>
                <w:sz w:val="22"/>
              </w:rPr>
              <w:t xml:space="preserve"> i donacije)</w:t>
            </w:r>
          </w:p>
        </w:tc>
        <w:tc>
          <w:tcPr>
            <w:tcW w:w="3260" w:type="dxa"/>
          </w:tcPr>
          <w:p w:rsidR="009554E4" w:rsidRPr="00A15A60" w:rsidRDefault="00570840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8.411.529</w:t>
            </w:r>
          </w:p>
        </w:tc>
        <w:tc>
          <w:tcPr>
            <w:tcW w:w="1525" w:type="dxa"/>
          </w:tcPr>
          <w:p w:rsidR="009554E4" w:rsidRPr="00A15A60" w:rsidRDefault="00570840" w:rsidP="005C0D48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23,42</w:t>
            </w:r>
          </w:p>
        </w:tc>
      </w:tr>
      <w:tr w:rsidR="009554E4" w:rsidRPr="00A15A60" w:rsidTr="00612567">
        <w:tc>
          <w:tcPr>
            <w:cnfStyle w:val="001000000000"/>
            <w:tcW w:w="4503" w:type="dxa"/>
          </w:tcPr>
          <w:p w:rsidR="009554E4" w:rsidRPr="00A15A60" w:rsidRDefault="009554E4" w:rsidP="007B1C26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 xml:space="preserve">Kapitalni </w:t>
            </w:r>
            <w:proofErr w:type="spellStart"/>
            <w:r w:rsidR="007B1C26">
              <w:rPr>
                <w:sz w:val="22"/>
              </w:rPr>
              <w:t>grantovi</w:t>
            </w:r>
            <w:proofErr w:type="spellEnd"/>
          </w:p>
        </w:tc>
        <w:tc>
          <w:tcPr>
            <w:tcW w:w="3260" w:type="dxa"/>
          </w:tcPr>
          <w:p w:rsidR="009554E4" w:rsidRPr="00A15A60" w:rsidRDefault="00570840" w:rsidP="0061256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367.673</w:t>
            </w:r>
          </w:p>
        </w:tc>
        <w:tc>
          <w:tcPr>
            <w:tcW w:w="1525" w:type="dxa"/>
          </w:tcPr>
          <w:p w:rsidR="009554E4" w:rsidRPr="00A15A60" w:rsidRDefault="00570840" w:rsidP="007B1C26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1,02</w:t>
            </w:r>
          </w:p>
        </w:tc>
      </w:tr>
      <w:tr w:rsidR="007B1C26" w:rsidRPr="00A15A60" w:rsidTr="00612567">
        <w:trPr>
          <w:cnfStyle w:val="000000100000"/>
        </w:trPr>
        <w:tc>
          <w:tcPr>
            <w:cnfStyle w:val="001000000000"/>
            <w:tcW w:w="4503" w:type="dxa"/>
          </w:tcPr>
          <w:p w:rsidR="007B1C26" w:rsidRPr="00A15A60" w:rsidRDefault="007B1C26" w:rsidP="007B1C26">
            <w:pPr>
              <w:jc w:val="both"/>
              <w:rPr>
                <w:sz w:val="22"/>
              </w:rPr>
            </w:pPr>
            <w:r>
              <w:rPr>
                <w:sz w:val="22"/>
              </w:rPr>
              <w:t>Prihodi po osnovi zaostalih obveza</w:t>
            </w:r>
          </w:p>
        </w:tc>
        <w:tc>
          <w:tcPr>
            <w:tcW w:w="3260" w:type="dxa"/>
          </w:tcPr>
          <w:p w:rsidR="007B1C26" w:rsidRDefault="00570840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525" w:type="dxa"/>
          </w:tcPr>
          <w:p w:rsidR="007B1C26" w:rsidRPr="00A15A60" w:rsidRDefault="00570840" w:rsidP="00FF1F69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</w:tr>
      <w:tr w:rsidR="009554E4" w:rsidRPr="00A15A60" w:rsidTr="00612567"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3260" w:type="dxa"/>
          </w:tcPr>
          <w:p w:rsidR="009554E4" w:rsidRPr="00A15A60" w:rsidRDefault="002B4957" w:rsidP="000C75AE">
            <w:pPr>
              <w:ind w:right="74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432584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432584">
              <w:rPr>
                <w:b/>
                <w:noProof/>
                <w:sz w:val="22"/>
              </w:rPr>
              <w:t>35.912.664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525" w:type="dxa"/>
          </w:tcPr>
          <w:p w:rsidR="009554E4" w:rsidRPr="00A15A60" w:rsidRDefault="002B4957" w:rsidP="007B1C26">
            <w:pPr>
              <w:ind w:right="28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570840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570840"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 w:rsidR="00570840">
              <w:rPr>
                <w:b/>
                <w:sz w:val="22"/>
              </w:rPr>
              <w:t>,00</w:t>
            </w:r>
          </w:p>
        </w:tc>
      </w:tr>
    </w:tbl>
    <w:p w:rsidR="009554E4" w:rsidRDefault="009554E4" w:rsidP="009554E4">
      <w:pPr>
        <w:jc w:val="both"/>
      </w:pPr>
    </w:p>
    <w:p w:rsidR="009554E4" w:rsidRDefault="009554E4" w:rsidP="009554E4">
      <w:pPr>
        <w:jc w:val="both"/>
      </w:pPr>
    </w:p>
    <w:p w:rsidR="009554E4" w:rsidRDefault="009554E4" w:rsidP="009554E4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4074583" cy="1917700"/>
            <wp:effectExtent l="19050" t="0" r="2117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54E4" w:rsidRDefault="009554E4" w:rsidP="009554E4">
      <w:pPr>
        <w:jc w:val="center"/>
        <w:rPr>
          <w:sz w:val="20"/>
          <w:szCs w:val="20"/>
        </w:rPr>
      </w:pPr>
      <w:r w:rsidRPr="00F56197">
        <w:rPr>
          <w:sz w:val="20"/>
          <w:szCs w:val="20"/>
        </w:rPr>
        <w:t xml:space="preserve">Graf 2. Struktura ostvarenih prihoda Proračuna </w:t>
      </w:r>
      <w:r w:rsidR="0077285E">
        <w:rPr>
          <w:sz w:val="20"/>
          <w:szCs w:val="20"/>
        </w:rPr>
        <w:t>ŽP</w:t>
      </w:r>
      <w:r w:rsidR="00261B4B">
        <w:rPr>
          <w:sz w:val="20"/>
          <w:szCs w:val="20"/>
        </w:rPr>
        <w:t xml:space="preserve"> u razdoblju 01.01.-</w:t>
      </w:r>
      <w:r w:rsidR="006A24C4">
        <w:rPr>
          <w:sz w:val="20"/>
          <w:szCs w:val="20"/>
        </w:rPr>
        <w:t>30</w:t>
      </w:r>
      <w:r w:rsidRPr="00F56197">
        <w:rPr>
          <w:sz w:val="20"/>
          <w:szCs w:val="20"/>
        </w:rPr>
        <w:t>.0</w:t>
      </w:r>
      <w:r w:rsidR="00570840">
        <w:rPr>
          <w:sz w:val="20"/>
          <w:szCs w:val="20"/>
        </w:rPr>
        <w:t>9</w:t>
      </w:r>
      <w:r w:rsidRPr="00F56197">
        <w:rPr>
          <w:sz w:val="20"/>
          <w:szCs w:val="20"/>
        </w:rPr>
        <w:t>.20</w:t>
      </w:r>
      <w:r w:rsidR="00635B68">
        <w:rPr>
          <w:sz w:val="20"/>
          <w:szCs w:val="20"/>
        </w:rPr>
        <w:t>20</w:t>
      </w:r>
      <w:r w:rsidRPr="00F56197">
        <w:rPr>
          <w:sz w:val="20"/>
          <w:szCs w:val="20"/>
        </w:rPr>
        <w:t>.</w:t>
      </w:r>
      <w:r w:rsidRPr="00FD3224">
        <w:rPr>
          <w:sz w:val="20"/>
          <w:szCs w:val="20"/>
        </w:rPr>
        <w:t xml:space="preserve"> g</w:t>
      </w:r>
      <w:r>
        <w:rPr>
          <w:sz w:val="20"/>
          <w:szCs w:val="20"/>
        </w:rPr>
        <w:t>.</w:t>
      </w:r>
    </w:p>
    <w:p w:rsidR="009554E4" w:rsidRDefault="009554E4" w:rsidP="009554E4">
      <w:pPr>
        <w:jc w:val="center"/>
        <w:rPr>
          <w:sz w:val="20"/>
          <w:szCs w:val="20"/>
        </w:rPr>
      </w:pPr>
    </w:p>
    <w:p w:rsidR="009554E4" w:rsidRDefault="009554E4" w:rsidP="009554E4">
      <w:pPr>
        <w:jc w:val="center"/>
      </w:pPr>
    </w:p>
    <w:p w:rsidR="009554E4" w:rsidRDefault="00AD16F2" w:rsidP="009554E4">
      <w:pPr>
        <w:pStyle w:val="Naslov1"/>
        <w:ind w:firstLine="0"/>
      </w:pPr>
      <w:r>
        <w:t>1</w:t>
      </w:r>
      <w:r w:rsidR="009554E4">
        <w:t xml:space="preserve">.1 </w:t>
      </w:r>
      <w:r w:rsidR="009554E4">
        <w:tab/>
      </w:r>
      <w:r w:rsidR="0077285E">
        <w:t xml:space="preserve">PRIHODI OD </w:t>
      </w:r>
      <w:r w:rsidR="009554E4">
        <w:t>POREZ</w:t>
      </w:r>
      <w:r w:rsidR="0077285E">
        <w:t>A</w:t>
      </w:r>
    </w:p>
    <w:p w:rsidR="009554E4" w:rsidRDefault="009554E4" w:rsidP="009554E4">
      <w:pPr>
        <w:ind w:firstLine="720"/>
        <w:jc w:val="both"/>
        <w:rPr>
          <w:b/>
          <w:bCs/>
          <w:u w:val="single"/>
        </w:rPr>
      </w:pPr>
    </w:p>
    <w:p w:rsidR="009554E4" w:rsidRDefault="009554E4" w:rsidP="009554E4">
      <w:pPr>
        <w:pStyle w:val="Uvuenotijeloteksta"/>
        <w:spacing w:line="240" w:lineRule="auto"/>
        <w:ind w:firstLine="0"/>
      </w:pPr>
      <w:r w:rsidRPr="000A683A">
        <w:t>Porezni prihodi (kategorija 710000)</w:t>
      </w:r>
      <w:r>
        <w:t xml:space="preserve"> ostvareni su u iznosu od </w:t>
      </w:r>
      <w:r w:rsidR="00570840">
        <w:t>25.175.572</w:t>
      </w:r>
      <w:r>
        <w:t xml:space="preserve"> KM, odnosno </w:t>
      </w:r>
      <w:r w:rsidR="00570840">
        <w:t>80,34</w:t>
      </w:r>
      <w:r>
        <w:t>% u odnosu na planirane porezne prihode fiskalne 20</w:t>
      </w:r>
      <w:r w:rsidR="00635B68">
        <w:t>20</w:t>
      </w:r>
      <w:r>
        <w:t xml:space="preserve">. godine. </w:t>
      </w:r>
      <w:r w:rsidRPr="00B15AA0">
        <w:t>Prihodi ostvareni u izvještajnom razdoblju u o</w:t>
      </w:r>
      <w:r w:rsidR="0077285E" w:rsidRPr="00B15AA0">
        <w:t xml:space="preserve">dnosu na plan za isto razdoblje </w:t>
      </w:r>
      <w:r w:rsidR="006A24C4">
        <w:t>veći</w:t>
      </w:r>
      <w:r w:rsidRPr="00B15AA0">
        <w:t xml:space="preserve"> su za </w:t>
      </w:r>
      <w:r w:rsidR="00570840">
        <w:t>7,12</w:t>
      </w:r>
      <w:r w:rsidRPr="00B15AA0">
        <w:t xml:space="preserve">%, odnosno u apsolutnom iznosu </w:t>
      </w:r>
      <w:r w:rsidR="006A24C4">
        <w:t>veći</w:t>
      </w:r>
      <w:r w:rsidR="00677844" w:rsidRPr="00B15AA0">
        <w:t xml:space="preserve"> </w:t>
      </w:r>
      <w:r w:rsidRPr="00B15AA0">
        <w:t xml:space="preserve">za </w:t>
      </w:r>
      <w:r w:rsidR="00570840">
        <w:t>1.673.175</w:t>
      </w:r>
      <w:r w:rsidRPr="00B15AA0">
        <w:t xml:space="preserve"> KM.</w:t>
      </w:r>
    </w:p>
    <w:p w:rsidR="009554E4" w:rsidRDefault="009554E4" w:rsidP="009554E4">
      <w:pPr>
        <w:pStyle w:val="Uvuenotijeloteksta"/>
        <w:spacing w:line="240" w:lineRule="auto"/>
        <w:ind w:firstLine="0"/>
      </w:pPr>
      <w:r>
        <w:t>Uspoređujući ostvarenje poreznih prihoda u istom razdoblju fiskalne 201</w:t>
      </w:r>
      <w:r w:rsidR="00635B68">
        <w:t>9</w:t>
      </w:r>
      <w:r>
        <w:t>. godine ostvareni porezni prihodi u fiskalnoj 20</w:t>
      </w:r>
      <w:r w:rsidR="00635B68">
        <w:t>20</w:t>
      </w:r>
      <w:r>
        <w:t xml:space="preserve">. godine </w:t>
      </w:r>
      <w:r w:rsidR="006A24C4">
        <w:t>manji</w:t>
      </w:r>
      <w:r>
        <w:t xml:space="preserve"> su za </w:t>
      </w:r>
      <w:r w:rsidR="00570840">
        <w:t>3.809.254</w:t>
      </w:r>
      <w:r>
        <w:t xml:space="preserve"> KM</w:t>
      </w:r>
      <w:r w:rsidR="00741F39">
        <w:t>,</w:t>
      </w:r>
      <w:r>
        <w:t xml:space="preserve"> odnosno </w:t>
      </w:r>
      <w:r w:rsidR="005C0D48">
        <w:t xml:space="preserve">za </w:t>
      </w:r>
      <w:r w:rsidR="00570840">
        <w:t>13,14</w:t>
      </w:r>
      <w:r>
        <w:t xml:space="preserve">% </w:t>
      </w:r>
      <w:r w:rsidR="006A24C4">
        <w:t>manji</w:t>
      </w:r>
      <w:r>
        <w:t>.</w:t>
      </w:r>
    </w:p>
    <w:p w:rsidR="009554E4" w:rsidRDefault="009554E4" w:rsidP="009554E4">
      <w:pPr>
        <w:pStyle w:val="Uvuenotijeloteksta"/>
        <w:spacing w:line="240" w:lineRule="auto"/>
        <w:ind w:firstLine="0"/>
      </w:pPr>
    </w:p>
    <w:p w:rsidR="009554E4" w:rsidRDefault="009554E4" w:rsidP="009554E4">
      <w:pPr>
        <w:pStyle w:val="Uvuenotijeloteksta"/>
        <w:spacing w:line="240" w:lineRule="auto"/>
        <w:ind w:firstLine="0"/>
      </w:pPr>
      <w:r>
        <w:t>Slijedi tablični i grafički prikaz učešća pojedine kategorije poreznih prihoda u ukupno ostvarenim poreznim prihodima u razdoblju 01.01.-</w:t>
      </w:r>
      <w:r w:rsidR="006A24C4">
        <w:t>30</w:t>
      </w:r>
      <w:r>
        <w:t>.0</w:t>
      </w:r>
      <w:r w:rsidR="00570840">
        <w:t>9</w:t>
      </w:r>
      <w:r>
        <w:t>.20</w:t>
      </w:r>
      <w:r w:rsidR="00635B68">
        <w:t>20</w:t>
      </w:r>
      <w:r>
        <w:t>. godine.</w:t>
      </w:r>
    </w:p>
    <w:p w:rsidR="009554E4" w:rsidRDefault="009554E4" w:rsidP="009554E4">
      <w:pPr>
        <w:pStyle w:val="Uvuenotijeloteksta"/>
        <w:spacing w:line="240" w:lineRule="auto"/>
        <w:ind w:firstLine="0"/>
      </w:pPr>
    </w:p>
    <w:p w:rsidR="009554E4" w:rsidRPr="00FD3224" w:rsidRDefault="009554E4" w:rsidP="009554E4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t xml:space="preserve">Tablica </w:t>
      </w:r>
      <w:r>
        <w:rPr>
          <w:sz w:val="20"/>
          <w:szCs w:val="20"/>
        </w:rPr>
        <w:t>2</w:t>
      </w:r>
      <w:r w:rsidRPr="00FD3224">
        <w:rPr>
          <w:sz w:val="20"/>
          <w:szCs w:val="20"/>
        </w:rPr>
        <w:t xml:space="preserve">. Struktura ostvarenih </w:t>
      </w:r>
      <w:r>
        <w:rPr>
          <w:sz w:val="20"/>
          <w:szCs w:val="20"/>
        </w:rPr>
        <w:t xml:space="preserve">poreznih </w:t>
      </w:r>
      <w:r w:rsidRPr="00FD3224">
        <w:rPr>
          <w:sz w:val="20"/>
          <w:szCs w:val="20"/>
        </w:rPr>
        <w:t xml:space="preserve">prihoda Proračuna </w:t>
      </w:r>
      <w:proofErr w:type="spellStart"/>
      <w:r w:rsidRPr="00FD3224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FD3224">
        <w:rPr>
          <w:sz w:val="20"/>
          <w:szCs w:val="20"/>
        </w:rPr>
        <w:t>Posavske</w:t>
      </w:r>
      <w:proofErr w:type="spellEnd"/>
      <w:r w:rsidRPr="00FD3224">
        <w:rPr>
          <w:sz w:val="20"/>
          <w:szCs w:val="20"/>
        </w:rPr>
        <w:t xml:space="preserve"> u razdoblju 01.01.-</w:t>
      </w:r>
      <w:r w:rsidR="006A24C4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570840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635B68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4503"/>
        <w:gridCol w:w="3260"/>
        <w:gridCol w:w="1525"/>
      </w:tblGrid>
      <w:tr w:rsidR="009554E4" w:rsidRPr="00A15A60" w:rsidTr="00612567">
        <w:trPr>
          <w:cnfStyle w:val="100000000000"/>
        </w:trPr>
        <w:tc>
          <w:tcPr>
            <w:cnfStyle w:val="001000000100"/>
            <w:tcW w:w="4503" w:type="dxa"/>
            <w:vAlign w:val="center"/>
          </w:tcPr>
          <w:p w:rsidR="009554E4" w:rsidRPr="00A15A60" w:rsidRDefault="009554E4" w:rsidP="00612567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3260" w:type="dxa"/>
          </w:tcPr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9554E4" w:rsidRPr="00A15A60" w:rsidRDefault="009554E4" w:rsidP="00570840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6A24C4">
              <w:rPr>
                <w:b/>
                <w:sz w:val="22"/>
              </w:rPr>
              <w:t>30</w:t>
            </w:r>
            <w:r w:rsidRPr="00A15A60">
              <w:rPr>
                <w:b/>
                <w:sz w:val="22"/>
              </w:rPr>
              <w:t>.0</w:t>
            </w:r>
            <w:r w:rsidR="00570840">
              <w:rPr>
                <w:b/>
                <w:sz w:val="22"/>
              </w:rPr>
              <w:t>9</w:t>
            </w:r>
            <w:r w:rsidRPr="00A15A60">
              <w:rPr>
                <w:b/>
                <w:sz w:val="22"/>
              </w:rPr>
              <w:t>.20</w:t>
            </w:r>
            <w:r w:rsidR="00635B68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>.g. (u KM)</w:t>
            </w:r>
          </w:p>
        </w:tc>
        <w:tc>
          <w:tcPr>
            <w:tcW w:w="1525" w:type="dxa"/>
          </w:tcPr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Porez na dobit pojedinaca i poduzeća</w:t>
            </w:r>
          </w:p>
        </w:tc>
        <w:tc>
          <w:tcPr>
            <w:tcW w:w="3260" w:type="dxa"/>
          </w:tcPr>
          <w:p w:rsidR="009554E4" w:rsidRPr="00A15A60" w:rsidRDefault="00570840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2.167.397</w:t>
            </w:r>
          </w:p>
        </w:tc>
        <w:tc>
          <w:tcPr>
            <w:tcW w:w="1525" w:type="dxa"/>
          </w:tcPr>
          <w:p w:rsidR="009554E4" w:rsidRPr="00A15A60" w:rsidRDefault="00570840" w:rsidP="005741C1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8,61</w:t>
            </w:r>
          </w:p>
        </w:tc>
      </w:tr>
      <w:tr w:rsidR="009554E4" w:rsidRPr="00A15A60" w:rsidTr="00612567"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Porez na plaću i radnu snagu</w:t>
            </w:r>
          </w:p>
        </w:tc>
        <w:tc>
          <w:tcPr>
            <w:tcW w:w="3260" w:type="dxa"/>
          </w:tcPr>
          <w:p w:rsidR="009554E4" w:rsidRPr="00A15A60" w:rsidRDefault="00570840" w:rsidP="0061256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  <w:tc>
          <w:tcPr>
            <w:tcW w:w="1525" w:type="dxa"/>
          </w:tcPr>
          <w:p w:rsidR="009554E4" w:rsidRPr="00A15A60" w:rsidRDefault="00570840" w:rsidP="00B809BD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Porez na imovinu</w:t>
            </w:r>
          </w:p>
        </w:tc>
        <w:tc>
          <w:tcPr>
            <w:tcW w:w="3260" w:type="dxa"/>
          </w:tcPr>
          <w:p w:rsidR="009554E4" w:rsidRPr="00A15A60" w:rsidRDefault="00570840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122.859</w:t>
            </w:r>
          </w:p>
        </w:tc>
        <w:tc>
          <w:tcPr>
            <w:tcW w:w="1525" w:type="dxa"/>
          </w:tcPr>
          <w:p w:rsidR="009554E4" w:rsidRPr="00A15A60" w:rsidRDefault="00570840" w:rsidP="0061256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0,49</w:t>
            </w:r>
          </w:p>
        </w:tc>
      </w:tr>
      <w:tr w:rsidR="009554E4" w:rsidRPr="00A15A60" w:rsidTr="00612567"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Domaći porezi na dobra i usluge</w:t>
            </w:r>
          </w:p>
        </w:tc>
        <w:tc>
          <w:tcPr>
            <w:tcW w:w="3260" w:type="dxa"/>
          </w:tcPr>
          <w:p w:rsidR="009554E4" w:rsidRPr="00A15A60" w:rsidRDefault="00570840" w:rsidP="0061256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1.721</w:t>
            </w:r>
          </w:p>
        </w:tc>
        <w:tc>
          <w:tcPr>
            <w:tcW w:w="1525" w:type="dxa"/>
          </w:tcPr>
          <w:p w:rsidR="009554E4" w:rsidRPr="00A15A60" w:rsidRDefault="00570840" w:rsidP="00FD2938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Porez na dohodak</w:t>
            </w:r>
          </w:p>
        </w:tc>
        <w:tc>
          <w:tcPr>
            <w:tcW w:w="3260" w:type="dxa"/>
          </w:tcPr>
          <w:p w:rsidR="009554E4" w:rsidRPr="00A15A60" w:rsidRDefault="00570840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2.247.225</w:t>
            </w:r>
          </w:p>
        </w:tc>
        <w:tc>
          <w:tcPr>
            <w:tcW w:w="1525" w:type="dxa"/>
          </w:tcPr>
          <w:p w:rsidR="009554E4" w:rsidRPr="00A15A60" w:rsidRDefault="00570840" w:rsidP="0061256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8,92</w:t>
            </w:r>
          </w:p>
        </w:tc>
      </w:tr>
      <w:tr w:rsidR="009554E4" w:rsidRPr="00A15A60" w:rsidTr="00612567"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Prihodi od neizravnih poreza</w:t>
            </w:r>
          </w:p>
        </w:tc>
        <w:tc>
          <w:tcPr>
            <w:tcW w:w="3260" w:type="dxa"/>
          </w:tcPr>
          <w:p w:rsidR="009554E4" w:rsidRPr="00A15A60" w:rsidRDefault="00570840" w:rsidP="00DD1072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20.635.561</w:t>
            </w:r>
          </w:p>
        </w:tc>
        <w:tc>
          <w:tcPr>
            <w:tcW w:w="1525" w:type="dxa"/>
          </w:tcPr>
          <w:p w:rsidR="009554E4" w:rsidRPr="00A15A60" w:rsidRDefault="00570840" w:rsidP="0077285E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81,97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Ostali porezi</w:t>
            </w:r>
          </w:p>
        </w:tc>
        <w:tc>
          <w:tcPr>
            <w:tcW w:w="3260" w:type="dxa"/>
          </w:tcPr>
          <w:p w:rsidR="009554E4" w:rsidRPr="00A15A60" w:rsidRDefault="00570840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25" w:type="dxa"/>
          </w:tcPr>
          <w:p w:rsidR="009554E4" w:rsidRPr="00A15A60" w:rsidRDefault="00570840" w:rsidP="00203398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9554E4" w:rsidRPr="00A15A60" w:rsidTr="00612567">
        <w:tc>
          <w:tcPr>
            <w:cnfStyle w:val="001000000000"/>
            <w:tcW w:w="4503" w:type="dxa"/>
          </w:tcPr>
          <w:p w:rsidR="009554E4" w:rsidRPr="00A15A60" w:rsidRDefault="009554E4" w:rsidP="00612567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3260" w:type="dxa"/>
          </w:tcPr>
          <w:p w:rsidR="009554E4" w:rsidRPr="00A15A60" w:rsidRDefault="002B4957" w:rsidP="00DD1072">
            <w:pPr>
              <w:ind w:right="74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570840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570840">
              <w:rPr>
                <w:b/>
                <w:noProof/>
                <w:sz w:val="22"/>
              </w:rPr>
              <w:t>25.175.572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525" w:type="dxa"/>
          </w:tcPr>
          <w:p w:rsidR="009554E4" w:rsidRPr="00A15A60" w:rsidRDefault="002B4957" w:rsidP="0077285E">
            <w:pPr>
              <w:ind w:right="28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570840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570840"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 w:rsidR="00570840">
              <w:rPr>
                <w:b/>
                <w:sz w:val="22"/>
              </w:rPr>
              <w:t>,00</w:t>
            </w:r>
          </w:p>
        </w:tc>
      </w:tr>
    </w:tbl>
    <w:p w:rsidR="009554E4" w:rsidRDefault="009554E4" w:rsidP="009554E4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drawing>
          <wp:inline distT="0" distB="0" distL="0" distR="0">
            <wp:extent cx="4707466" cy="2230966"/>
            <wp:effectExtent l="1905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54E4" w:rsidRDefault="009554E4" w:rsidP="009554E4">
      <w:pPr>
        <w:jc w:val="center"/>
        <w:rPr>
          <w:sz w:val="20"/>
          <w:szCs w:val="20"/>
        </w:rPr>
      </w:pPr>
      <w:r w:rsidRPr="00F56197">
        <w:rPr>
          <w:sz w:val="20"/>
          <w:szCs w:val="20"/>
        </w:rPr>
        <w:t xml:space="preserve">Graf </w:t>
      </w:r>
      <w:r>
        <w:rPr>
          <w:sz w:val="20"/>
          <w:szCs w:val="20"/>
        </w:rPr>
        <w:t>3</w:t>
      </w:r>
      <w:r w:rsidRPr="00F5619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Struktura ostvarenih poreznih prihoda </w:t>
      </w:r>
      <w:r w:rsidRPr="00F56197">
        <w:rPr>
          <w:sz w:val="20"/>
          <w:szCs w:val="20"/>
        </w:rPr>
        <w:t>Proračuna Županije Posavske u razdoblju 01.01.-</w:t>
      </w:r>
      <w:r w:rsidR="006A24C4">
        <w:rPr>
          <w:sz w:val="20"/>
          <w:szCs w:val="20"/>
        </w:rPr>
        <w:t>30</w:t>
      </w:r>
      <w:r w:rsidR="0077285E">
        <w:rPr>
          <w:sz w:val="20"/>
          <w:szCs w:val="20"/>
        </w:rPr>
        <w:t>.</w:t>
      </w:r>
      <w:r w:rsidRPr="00F56197">
        <w:rPr>
          <w:sz w:val="20"/>
          <w:szCs w:val="20"/>
        </w:rPr>
        <w:t>0</w:t>
      </w:r>
      <w:r w:rsidR="00570840">
        <w:rPr>
          <w:sz w:val="20"/>
          <w:szCs w:val="20"/>
        </w:rPr>
        <w:t>9</w:t>
      </w:r>
      <w:r w:rsidRPr="00F56197">
        <w:rPr>
          <w:sz w:val="20"/>
          <w:szCs w:val="20"/>
        </w:rPr>
        <w:t>.20</w:t>
      </w:r>
      <w:r w:rsidR="00635B68">
        <w:rPr>
          <w:sz w:val="20"/>
          <w:szCs w:val="20"/>
        </w:rPr>
        <w:t>20</w:t>
      </w:r>
      <w:r w:rsidRPr="00F56197">
        <w:rPr>
          <w:sz w:val="20"/>
          <w:szCs w:val="20"/>
        </w:rPr>
        <w:t>.</w:t>
      </w:r>
      <w:r w:rsidRPr="00FD3224">
        <w:rPr>
          <w:sz w:val="20"/>
          <w:szCs w:val="20"/>
        </w:rPr>
        <w:t xml:space="preserve"> g</w:t>
      </w:r>
      <w:r>
        <w:rPr>
          <w:sz w:val="20"/>
          <w:szCs w:val="20"/>
        </w:rPr>
        <w:t>.</w:t>
      </w:r>
    </w:p>
    <w:p w:rsidR="009554E4" w:rsidRDefault="009554E4" w:rsidP="009554E4">
      <w:pPr>
        <w:pStyle w:val="Uvuenotijeloteksta"/>
        <w:spacing w:line="240" w:lineRule="auto"/>
        <w:ind w:firstLine="0"/>
      </w:pPr>
      <w:r w:rsidRPr="000A683A">
        <w:rPr>
          <w:b/>
        </w:rPr>
        <w:lastRenderedPageBreak/>
        <w:t>Prihodi po osnovi poreza na dobit pojedinaca i poreza na dobit poduzeća (potkategorija 711000)</w:t>
      </w:r>
      <w:r>
        <w:t xml:space="preserve"> ostvareni su u ukupnom iznosu od </w:t>
      </w:r>
      <w:r w:rsidR="00875C03">
        <w:t>2.167.397</w:t>
      </w:r>
      <w:r>
        <w:t xml:space="preserve"> KM</w:t>
      </w:r>
      <w:r w:rsidR="00B809BD">
        <w:t>,</w:t>
      </w:r>
      <w:r>
        <w:t xml:space="preserve"> odnosno </w:t>
      </w:r>
      <w:r w:rsidR="00875C03">
        <w:t>81,91</w:t>
      </w:r>
      <w:r>
        <w:t>%</w:t>
      </w:r>
      <w:r w:rsidR="006A24C4">
        <w:t xml:space="preserve"> više</w:t>
      </w:r>
      <w:r>
        <w:t xml:space="preserve"> u odnosu na </w:t>
      </w:r>
      <w:r w:rsidR="00BE2B97">
        <w:t xml:space="preserve">ukupno </w:t>
      </w:r>
      <w:r>
        <w:t>planirane prihode</w:t>
      </w:r>
      <w:r w:rsidR="00BE2B97">
        <w:t xml:space="preserve"> po ovoj osnovi</w:t>
      </w:r>
      <w:r w:rsidR="006A24C4">
        <w:t xml:space="preserve">, ili </w:t>
      </w:r>
      <w:r w:rsidR="00432584">
        <w:t>975.947</w:t>
      </w:r>
      <w:r w:rsidR="006A24C4">
        <w:t xml:space="preserve"> KM više</w:t>
      </w:r>
      <w:r>
        <w:t xml:space="preserve">. U samoj strukturi ostvarenih prihoda po osnovi poreza na dobit najznačajnije ostvarenje je zabilježeno od prihoda po osnovi poreza na dobit poduzeća (analitički konto 711211) u visini od </w:t>
      </w:r>
      <w:r w:rsidR="00432584">
        <w:t>2.118.978</w:t>
      </w:r>
      <w:r>
        <w:t xml:space="preserve"> KM</w:t>
      </w:r>
      <w:r w:rsidR="00B809BD">
        <w:t>,</w:t>
      </w:r>
      <w:r>
        <w:t xml:space="preserve"> što iznosi </w:t>
      </w:r>
      <w:r w:rsidR="00432584">
        <w:t>97,77</w:t>
      </w:r>
      <w:r>
        <w:t>% ukupno ostvarenog prihoda po ovoj osnovi.</w:t>
      </w:r>
      <w:r w:rsidR="000C0187">
        <w:t xml:space="preserve"> Porez po odbitku (analitički konto 711212) ostvaren je u iznosu od </w:t>
      </w:r>
      <w:r w:rsidR="00432584">
        <w:t>47</w:t>
      </w:r>
      <w:r w:rsidR="006A24C4">
        <w:t>.</w:t>
      </w:r>
      <w:r w:rsidR="00432584">
        <w:t>824</w:t>
      </w:r>
      <w:r w:rsidR="000C0187">
        <w:t xml:space="preserve"> KM, dok ostatak čin</w:t>
      </w:r>
      <w:r w:rsidR="00B6035C">
        <w:t>i</w:t>
      </w:r>
      <w:r w:rsidR="00B15AA0">
        <w:t xml:space="preserve"> porez na dobit od gospodarskih i profesionalnih djelatnosti (</w:t>
      </w:r>
      <w:r w:rsidR="00432584">
        <w:t>552</w:t>
      </w:r>
      <w:r w:rsidR="00076701">
        <w:t xml:space="preserve"> </w:t>
      </w:r>
      <w:r w:rsidR="00B15AA0">
        <w:t>KM)</w:t>
      </w:r>
      <w:r w:rsidR="00432584">
        <w:t>,</w:t>
      </w:r>
      <w:r w:rsidR="00635B68">
        <w:t xml:space="preserve"> porez na temelju autorskih prava, patenata i </w:t>
      </w:r>
      <w:proofErr w:type="spellStart"/>
      <w:r w:rsidR="00635B68">
        <w:t>tehn.unapređenja</w:t>
      </w:r>
      <w:proofErr w:type="spellEnd"/>
      <w:r w:rsidR="00635B68">
        <w:t xml:space="preserve"> (10 KM)</w:t>
      </w:r>
      <w:r w:rsidR="00432584">
        <w:t>, te porez na prihod od imovine i imovinskih prava (33 KM).</w:t>
      </w:r>
      <w:r w:rsidR="00E361CC">
        <w:t xml:space="preserve"> U odnosu na plan za razdoblje prihoda po osnovi poreza na dobit pojedinaca i poduzeća ostvareno je </w:t>
      </w:r>
      <w:r w:rsidR="006A24C4">
        <w:t xml:space="preserve">u </w:t>
      </w:r>
      <w:r w:rsidR="00E361CC">
        <w:t xml:space="preserve">apsolutnom iznosu </w:t>
      </w:r>
      <w:r w:rsidR="00432584">
        <w:t>1.273.810</w:t>
      </w:r>
      <w:r w:rsidR="00E361CC">
        <w:t xml:space="preserve"> KM</w:t>
      </w:r>
      <w:r w:rsidR="006A24C4">
        <w:t xml:space="preserve"> više</w:t>
      </w:r>
      <w:r w:rsidR="00E361CC">
        <w:t>.</w:t>
      </w:r>
      <w:r w:rsidR="006A24C4">
        <w:t xml:space="preserve"> U</w:t>
      </w:r>
      <w:r w:rsidR="00E361CC">
        <w:t xml:space="preserve"> usporedbi s ostvarenjem u istom razdoblju 20</w:t>
      </w:r>
      <w:r w:rsidR="00DE2887">
        <w:t>19</w:t>
      </w:r>
      <w:r w:rsidR="00E361CC">
        <w:t xml:space="preserve">. godine uočava se </w:t>
      </w:r>
      <w:r w:rsidR="00A90BEA">
        <w:t>pad</w:t>
      </w:r>
      <w:r w:rsidR="00E361CC">
        <w:t xml:space="preserve"> ovih prihoda i to u relativnom iznosu za </w:t>
      </w:r>
      <w:r w:rsidR="00432584">
        <w:t>10,63</w:t>
      </w:r>
      <w:r w:rsidR="00E361CC">
        <w:t>%</w:t>
      </w:r>
      <w:r w:rsidR="00A90BEA">
        <w:t>,</w:t>
      </w:r>
      <w:r w:rsidR="00E361CC">
        <w:t xml:space="preserve"> odnosno u apsolutnom iznosu za </w:t>
      </w:r>
      <w:r w:rsidR="00432584">
        <w:t>257</w:t>
      </w:r>
      <w:r w:rsidR="00E80B4B">
        <w:t>.</w:t>
      </w:r>
      <w:r w:rsidR="00432584">
        <w:t>921</w:t>
      </w:r>
      <w:r w:rsidR="00E361CC">
        <w:t xml:space="preserve"> KM.</w:t>
      </w:r>
      <w:r w:rsidR="00562DE5">
        <w:t xml:space="preserve"> </w:t>
      </w:r>
      <w:r w:rsidR="00E80B4B">
        <w:t xml:space="preserve">Ovako pesimističan plan prihoda od poreza na dobit poduzeća u Izmjenama i dopunama Proračuna Županije Posavske rezultat je revidiranih projekcija prihoda primljenih od Federalnog ministarstva financija u svibnju 2020. godine. Navedenim projekcijama procijenjeno je da će, uslijed negativnih utjecaja </w:t>
      </w:r>
      <w:proofErr w:type="spellStart"/>
      <w:r w:rsidR="00E80B4B">
        <w:t>pandemije</w:t>
      </w:r>
      <w:proofErr w:type="spellEnd"/>
      <w:r w:rsidR="00E80B4B">
        <w:t xml:space="preserve"> COVID-19 virusa, Proračun Županije Posavske u cijeloj 2020. godini ostvariti samo 852.606 KM prihoda od poreza na dobit poduzeća. </w:t>
      </w:r>
      <w:r w:rsidR="00432584">
        <w:t xml:space="preserve">Obzirom da je u trenutku izrade Izmjena i dopuna Proračuna Županije Posavske ostvarenje prihoda od poreza na dobit već bilo veće od projiciranih prihoda Federalnog ministarstva financija, u planu se išlo na umjereno korigirani iznos., a koji je do 30.09.2020. godine gotovo udvostručen. Analizirajući strukturu ostvarenih prihoda od poreza na dobit može se zaključiti da </w:t>
      </w:r>
      <w:r w:rsidR="00DC1C33">
        <w:t xml:space="preserve">je </w:t>
      </w:r>
      <w:proofErr w:type="spellStart"/>
      <w:r w:rsidR="00DC1C33">
        <w:t>pandemija</w:t>
      </w:r>
      <w:proofErr w:type="spellEnd"/>
      <w:r w:rsidR="00DC1C33">
        <w:t xml:space="preserve"> COVID-19 virusa prouzročila pad ovih prihoda zbog poduzimanih mjera </w:t>
      </w:r>
      <w:proofErr w:type="spellStart"/>
      <w:r w:rsidR="00DC1C33">
        <w:t>lock</w:t>
      </w:r>
      <w:proofErr w:type="spellEnd"/>
      <w:r w:rsidR="00DC1C33">
        <w:t>-</w:t>
      </w:r>
      <w:proofErr w:type="spellStart"/>
      <w:r w:rsidR="00DC1C33">
        <w:t>downa</w:t>
      </w:r>
      <w:proofErr w:type="spellEnd"/>
      <w:r w:rsidR="00DC1C33">
        <w:t>, no pad nije bio tako drastičan kako se predviđalo u svibnju tekuće godine.</w:t>
      </w:r>
    </w:p>
    <w:p w:rsidR="009554E4" w:rsidRDefault="009554E4" w:rsidP="009554E4">
      <w:pPr>
        <w:pStyle w:val="Uvuenotijeloteksta"/>
        <w:spacing w:line="240" w:lineRule="auto"/>
        <w:ind w:firstLine="0"/>
      </w:pPr>
    </w:p>
    <w:p w:rsidR="009554E4" w:rsidRDefault="009554E4" w:rsidP="009554E4">
      <w:pPr>
        <w:pStyle w:val="Uvuenotijeloteksta"/>
        <w:spacing w:line="240" w:lineRule="auto"/>
        <w:ind w:firstLine="0"/>
      </w:pPr>
      <w:r w:rsidRPr="000A683A">
        <w:rPr>
          <w:b/>
        </w:rPr>
        <w:t>Prihodi po osnovi poreza na plaću i radnu snagu (potkategorija 713000)</w:t>
      </w:r>
      <w:r>
        <w:t xml:space="preserve"> ostvareni su u iznosu od </w:t>
      </w:r>
      <w:r w:rsidR="00DC1C33">
        <w:t>766</w:t>
      </w:r>
      <w:r>
        <w:t xml:space="preserve"> KM na temelju neizmirenih obveza iz prethodnih godina budući je od 01.01.2009. godine na snazi Zakon o porezu na dohodak («Službene novine Federacije BiH» broj 10/08). U odnosu na ukupno planirano Proračunom za 20</w:t>
      </w:r>
      <w:r w:rsidR="00716175">
        <w:t>20</w:t>
      </w:r>
      <w:r>
        <w:t xml:space="preserve">. godinu </w:t>
      </w:r>
      <w:r w:rsidR="00BE2B97">
        <w:t xml:space="preserve">po osnovi poreza na plaću i radnu snagu </w:t>
      </w:r>
      <w:r>
        <w:t>ovih prihoda je u razdoblju siječanj-</w:t>
      </w:r>
      <w:r w:rsidR="00DC1C33">
        <w:t>rujan</w:t>
      </w:r>
      <w:r>
        <w:t xml:space="preserve"> 20</w:t>
      </w:r>
      <w:r w:rsidR="00716175">
        <w:t>20</w:t>
      </w:r>
      <w:r>
        <w:t xml:space="preserve">. godine ostvareno </w:t>
      </w:r>
      <w:r w:rsidR="00DC1C33">
        <w:t>98,21</w:t>
      </w:r>
      <w:r w:rsidR="003669B4">
        <w:t>%</w:t>
      </w:r>
      <w:r w:rsidR="00B6035C">
        <w:t>.</w:t>
      </w:r>
      <w:r w:rsidR="00A90BEA">
        <w:t xml:space="preserve"> </w:t>
      </w:r>
      <w:r w:rsidR="00716175">
        <w:t>U</w:t>
      </w:r>
      <w:r w:rsidR="00A90BEA">
        <w:t xml:space="preserve"> </w:t>
      </w:r>
      <w:r w:rsidR="00716175">
        <w:t>istom</w:t>
      </w:r>
      <w:r w:rsidR="00A90BEA">
        <w:t xml:space="preserve"> razdoblj</w:t>
      </w:r>
      <w:r w:rsidR="00716175">
        <w:t>u</w:t>
      </w:r>
      <w:r w:rsidR="00A90BEA">
        <w:t xml:space="preserve"> 201</w:t>
      </w:r>
      <w:r w:rsidR="00716175">
        <w:t>9</w:t>
      </w:r>
      <w:r w:rsidR="00A90BEA">
        <w:t>. godine</w:t>
      </w:r>
      <w:r w:rsidR="00716175">
        <w:t xml:space="preserve"> ovi prihodi su iznosili </w:t>
      </w:r>
      <w:r w:rsidR="00E80B4B">
        <w:t>1.</w:t>
      </w:r>
      <w:r w:rsidR="00DC1C33">
        <w:t>932</w:t>
      </w:r>
      <w:r w:rsidR="00A90BEA">
        <w:t xml:space="preserve"> KM.</w:t>
      </w:r>
    </w:p>
    <w:p w:rsidR="00E80B4B" w:rsidRDefault="00E80B4B" w:rsidP="009554E4">
      <w:pPr>
        <w:pStyle w:val="Uvuenotijeloteksta"/>
        <w:spacing w:line="240" w:lineRule="auto"/>
        <w:ind w:firstLine="0"/>
      </w:pPr>
    </w:p>
    <w:p w:rsidR="009554E4" w:rsidRDefault="009554E4" w:rsidP="009554E4">
      <w:pPr>
        <w:pStyle w:val="Uvuenotijeloteksta"/>
        <w:spacing w:line="240" w:lineRule="auto"/>
        <w:ind w:firstLine="0"/>
      </w:pPr>
      <w:r w:rsidRPr="000A683A">
        <w:rPr>
          <w:b/>
        </w:rPr>
        <w:t>Porez na imovinu (potkategorija 714000)</w:t>
      </w:r>
      <w:r>
        <w:t xml:space="preserve"> ostvaren je u iznosu od </w:t>
      </w:r>
      <w:r w:rsidR="00DC1C33">
        <w:t>122.859</w:t>
      </w:r>
      <w:r>
        <w:t xml:space="preserve"> KM, odnosno </w:t>
      </w:r>
      <w:r w:rsidR="00DC1C33">
        <w:t>82,77</w:t>
      </w:r>
      <w:r>
        <w:t>% prihoda planiranih po ovoj osnovi u 20</w:t>
      </w:r>
      <w:r w:rsidR="00716175">
        <w:t>20</w:t>
      </w:r>
      <w:r>
        <w:t xml:space="preserve">. godini. </w:t>
      </w:r>
      <w:r w:rsidRPr="00A53192">
        <w:t>U strukturi</w:t>
      </w:r>
      <w:r>
        <w:t xml:space="preserve"> prihoda od poreza na imovinu najveće učešće ima </w:t>
      </w:r>
      <w:r w:rsidR="00C95DAB">
        <w:t xml:space="preserve">porez na promet nepokretnosti </w:t>
      </w:r>
      <w:r w:rsidR="00FF6A27">
        <w:t>fizičkih osoba</w:t>
      </w:r>
      <w:r w:rsidR="00C95DAB">
        <w:t xml:space="preserve"> (analitički konto 71413</w:t>
      </w:r>
      <w:r w:rsidR="00FF6A27">
        <w:t>1</w:t>
      </w:r>
      <w:r w:rsidR="00C95DAB">
        <w:t xml:space="preserve">) u visini od </w:t>
      </w:r>
      <w:r w:rsidR="00DC1C33">
        <w:t>57.221</w:t>
      </w:r>
      <w:r w:rsidR="00A53192">
        <w:t xml:space="preserve"> KM,</w:t>
      </w:r>
      <w:r w:rsidR="00BE7523">
        <w:t xml:space="preserve"> </w:t>
      </w:r>
      <w:r w:rsidR="00F94512">
        <w:t xml:space="preserve">porez na imovinu od fizičkih osoba (analitički konto 714111) u iznosu od </w:t>
      </w:r>
      <w:r w:rsidR="00DC1C33">
        <w:t>30.860</w:t>
      </w:r>
      <w:r w:rsidR="00F94512">
        <w:t xml:space="preserve"> KM, i </w:t>
      </w:r>
      <w:r w:rsidR="00A90BEA">
        <w:t xml:space="preserve">porez na promet nepokretnosti pravnih osoba (analitički konto 714132) u iznosu od </w:t>
      </w:r>
      <w:r w:rsidR="00DC1C33">
        <w:t>18.384</w:t>
      </w:r>
      <w:r w:rsidR="00F94512">
        <w:t xml:space="preserve"> KM</w:t>
      </w:r>
      <w:r>
        <w:t>. Naved</w:t>
      </w:r>
      <w:r w:rsidR="00BE2B97">
        <w:t xml:space="preserve">ene </w:t>
      </w:r>
      <w:r w:rsidR="00A90BEA">
        <w:t xml:space="preserve">tri </w:t>
      </w:r>
      <w:r w:rsidR="00BE2B97">
        <w:t xml:space="preserve">vrste prihoda čine </w:t>
      </w:r>
      <w:r w:rsidR="00F94512">
        <w:t>86,</w:t>
      </w:r>
      <w:r w:rsidR="00DC1C33">
        <w:t>66</w:t>
      </w:r>
      <w:r>
        <w:t xml:space="preserve">% ukupno ostvarenih prihoda po osnovi poreza na imovinu. </w:t>
      </w:r>
      <w:r w:rsidR="000C0187">
        <w:t>Ostatak prihoda odnosi se na prihode od poreza na</w:t>
      </w:r>
      <w:r w:rsidR="00A53192">
        <w:t xml:space="preserve"> imovinu od pravnih osoba (</w:t>
      </w:r>
      <w:r w:rsidR="00DC1C33">
        <w:t>6.168</w:t>
      </w:r>
      <w:r w:rsidR="00A53192">
        <w:t xml:space="preserve"> KM)</w:t>
      </w:r>
      <w:r w:rsidR="006C2A2A">
        <w:t>,</w:t>
      </w:r>
      <w:r w:rsidR="00E361CC">
        <w:t xml:space="preserve"> </w:t>
      </w:r>
      <w:r w:rsidR="000C0187">
        <w:t>prihode od poreza na naslijeđe i darove</w:t>
      </w:r>
      <w:r w:rsidR="00E361CC">
        <w:t xml:space="preserve"> (</w:t>
      </w:r>
      <w:r w:rsidR="00DC1C33">
        <w:t>7.806</w:t>
      </w:r>
      <w:r w:rsidR="00E361CC">
        <w:t xml:space="preserve"> KM)</w:t>
      </w:r>
      <w:r w:rsidR="00B6035C">
        <w:t xml:space="preserve">, </w:t>
      </w:r>
      <w:r w:rsidR="006C2A2A">
        <w:t xml:space="preserve">te </w:t>
      </w:r>
      <w:r w:rsidR="00DC1C33">
        <w:t>manji</w:t>
      </w:r>
      <w:r w:rsidR="006C2A2A">
        <w:t xml:space="preserve"> iznos prihoda </w:t>
      </w:r>
      <w:r w:rsidR="00A90BEA">
        <w:t xml:space="preserve">od poreza </w:t>
      </w:r>
      <w:r w:rsidR="006C2A2A">
        <w:t>na imovinu za motorna vozila (</w:t>
      </w:r>
      <w:r w:rsidR="00DC1C33">
        <w:t>2</w:t>
      </w:r>
      <w:r w:rsidR="005B77E5">
        <w:t>.</w:t>
      </w:r>
      <w:r w:rsidR="00DC1C33">
        <w:t>420</w:t>
      </w:r>
      <w:r w:rsidR="0003678A">
        <w:t xml:space="preserve"> </w:t>
      </w:r>
      <w:r w:rsidR="006C2A2A">
        <w:t>KM)</w:t>
      </w:r>
      <w:r w:rsidR="000C0187">
        <w:t xml:space="preserve">. </w:t>
      </w:r>
      <w:r>
        <w:t>U odnosu na isto razdoblje fiskalne 201</w:t>
      </w:r>
      <w:r w:rsidR="00F94512">
        <w:t>9</w:t>
      </w:r>
      <w:r>
        <w:t xml:space="preserve">. godine ovih prihoda je ostvareno </w:t>
      </w:r>
      <w:r w:rsidR="005B77E5">
        <w:t>47,</w:t>
      </w:r>
      <w:r w:rsidR="00DC1C33">
        <w:t>59</w:t>
      </w:r>
      <w:r>
        <w:t xml:space="preserve">% </w:t>
      </w:r>
      <w:r w:rsidR="00F94512">
        <w:t>manje</w:t>
      </w:r>
      <w:r w:rsidR="00203398">
        <w:t>,</w:t>
      </w:r>
      <w:r>
        <w:t xml:space="preserve"> odnosno u apsolutnom iznosu </w:t>
      </w:r>
      <w:r w:rsidR="00DC1C33">
        <w:t>111.549</w:t>
      </w:r>
      <w:r>
        <w:t xml:space="preserve"> KM </w:t>
      </w:r>
      <w:r w:rsidR="00F94512">
        <w:t>manje</w:t>
      </w:r>
      <w:r w:rsidR="00DC1C33">
        <w:t>, odnosno gotovo duplo manje.</w:t>
      </w:r>
      <w:r w:rsidR="00E361CC">
        <w:t xml:space="preserve"> Realizacija ovih prihoda </w:t>
      </w:r>
      <w:r w:rsidR="005B77E5">
        <w:t>veća</w:t>
      </w:r>
      <w:r w:rsidR="004748E5">
        <w:t xml:space="preserve"> je od</w:t>
      </w:r>
      <w:r w:rsidR="00E361CC">
        <w:t xml:space="preserve"> plan</w:t>
      </w:r>
      <w:r w:rsidR="004748E5">
        <w:t>a</w:t>
      </w:r>
      <w:r w:rsidR="00E361CC">
        <w:t xml:space="preserve"> za razdoblje 01.01.-</w:t>
      </w:r>
      <w:r w:rsidR="00F94512">
        <w:t>3</w:t>
      </w:r>
      <w:r w:rsidR="005B77E5">
        <w:t>0</w:t>
      </w:r>
      <w:r w:rsidR="00E361CC">
        <w:t>.0</w:t>
      </w:r>
      <w:r w:rsidR="00DC1C33">
        <w:t>9</w:t>
      </w:r>
      <w:r w:rsidR="00E361CC">
        <w:t>.20</w:t>
      </w:r>
      <w:r w:rsidR="00F94512">
        <w:t>20</w:t>
      </w:r>
      <w:r w:rsidR="00E361CC">
        <w:t>.</w:t>
      </w:r>
      <w:r w:rsidR="00F94512">
        <w:t>,</w:t>
      </w:r>
      <w:r w:rsidR="00E361CC">
        <w:t xml:space="preserve"> i to u relativnom iznosu </w:t>
      </w:r>
      <w:r w:rsidR="005B77E5">
        <w:t>veća</w:t>
      </w:r>
      <w:r w:rsidR="004748E5">
        <w:t xml:space="preserve"> </w:t>
      </w:r>
      <w:r w:rsidR="00E361CC">
        <w:t xml:space="preserve">za </w:t>
      </w:r>
      <w:r w:rsidR="00DC1C33">
        <w:t>10,36</w:t>
      </w:r>
      <w:r w:rsidR="00E361CC">
        <w:t>%</w:t>
      </w:r>
      <w:r w:rsidR="004748E5">
        <w:t>,</w:t>
      </w:r>
      <w:r w:rsidR="00E361CC">
        <w:t xml:space="preserve"> odnosno u apsolutnom iznosu </w:t>
      </w:r>
      <w:r w:rsidR="005B77E5">
        <w:t>veća</w:t>
      </w:r>
      <w:r w:rsidR="004748E5">
        <w:t xml:space="preserve"> </w:t>
      </w:r>
      <w:r w:rsidR="00E361CC">
        <w:t xml:space="preserve">za </w:t>
      </w:r>
      <w:r w:rsidR="00DC1C33">
        <w:t>11.537</w:t>
      </w:r>
      <w:r w:rsidR="00E361CC">
        <w:t xml:space="preserve"> KM.</w:t>
      </w:r>
    </w:p>
    <w:p w:rsidR="009554E4" w:rsidRPr="003B5D0E" w:rsidRDefault="009554E4" w:rsidP="009554E4">
      <w:pPr>
        <w:pStyle w:val="Uvuenotijeloteksta"/>
        <w:spacing w:line="240" w:lineRule="auto"/>
        <w:rPr>
          <w:sz w:val="20"/>
          <w:szCs w:val="20"/>
        </w:rPr>
      </w:pPr>
    </w:p>
    <w:p w:rsidR="009554E4" w:rsidRDefault="009554E4" w:rsidP="009554E4">
      <w:pPr>
        <w:pStyle w:val="Uvuenotijeloteksta"/>
        <w:spacing w:line="240" w:lineRule="auto"/>
        <w:ind w:firstLine="0"/>
      </w:pPr>
      <w:r>
        <w:t xml:space="preserve">Na ime </w:t>
      </w:r>
      <w:r w:rsidRPr="000A683A">
        <w:rPr>
          <w:b/>
        </w:rPr>
        <w:t>prihoda</w:t>
      </w:r>
      <w:r>
        <w:t xml:space="preserve"> </w:t>
      </w:r>
      <w:r w:rsidRPr="000A683A">
        <w:rPr>
          <w:b/>
        </w:rPr>
        <w:t>po osnovi domaćih poreza na dobra i usluge (potkategorija 715000)</w:t>
      </w:r>
      <w:r>
        <w:t xml:space="preserve">, temeljem utvrđenih obveza iz ranijih godina, na depozitni račun Županije Posavske uplaćeno je u </w:t>
      </w:r>
      <w:r w:rsidR="00F94512">
        <w:t>prv</w:t>
      </w:r>
      <w:r w:rsidR="005B77E5">
        <w:t>ih</w:t>
      </w:r>
      <w:r w:rsidR="006C2A2A">
        <w:t xml:space="preserve"> </w:t>
      </w:r>
      <w:r w:rsidR="00DC1C33">
        <w:t>devet</w:t>
      </w:r>
      <w:r>
        <w:t xml:space="preserve"> mjesec</w:t>
      </w:r>
      <w:r w:rsidR="005B77E5">
        <w:t>i</w:t>
      </w:r>
      <w:r w:rsidR="00740FD3">
        <w:t xml:space="preserve"> fiskalne 20</w:t>
      </w:r>
      <w:r w:rsidR="00F94512">
        <w:t>20</w:t>
      </w:r>
      <w:r>
        <w:t xml:space="preserve">. godine </w:t>
      </w:r>
      <w:r w:rsidR="00DC1C33">
        <w:t>1.721</w:t>
      </w:r>
      <w:r>
        <w:t xml:space="preserve"> KM</w:t>
      </w:r>
      <w:r w:rsidR="007E6526">
        <w:t>,</w:t>
      </w:r>
      <w:r>
        <w:t xml:space="preserve"> što </w:t>
      </w:r>
      <w:r w:rsidR="008177B5">
        <w:t>iznosi</w:t>
      </w:r>
      <w:r w:rsidR="00D00A93">
        <w:t xml:space="preserve"> </w:t>
      </w:r>
      <w:r w:rsidR="00DC1C33">
        <w:t>111,03</w:t>
      </w:r>
      <w:r w:rsidR="00187D58">
        <w:t xml:space="preserve">% </w:t>
      </w:r>
      <w:r>
        <w:t>ukupno planiranih prihoda po ovoj osnovi</w:t>
      </w:r>
      <w:r w:rsidR="00187D58">
        <w:t xml:space="preserve"> u 20</w:t>
      </w:r>
      <w:r w:rsidR="00F94512">
        <w:t>20</w:t>
      </w:r>
      <w:r w:rsidR="00187D58">
        <w:t>. godini</w:t>
      </w:r>
      <w:r>
        <w:t>.</w:t>
      </w:r>
      <w:r w:rsidR="00D00A93">
        <w:t xml:space="preserve"> </w:t>
      </w:r>
      <w:r w:rsidR="008177B5">
        <w:t xml:space="preserve">U odnosu na planirano u razdoblju </w:t>
      </w:r>
      <w:r w:rsidR="008177B5">
        <w:lastRenderedPageBreak/>
        <w:t xml:space="preserve">izvršenje je </w:t>
      </w:r>
      <w:r w:rsidR="00F94512">
        <w:t>veće</w:t>
      </w:r>
      <w:r w:rsidR="008177B5">
        <w:t xml:space="preserve"> za </w:t>
      </w:r>
      <w:r w:rsidR="00DC1C33">
        <w:t>559</w:t>
      </w:r>
      <w:r w:rsidR="008177B5">
        <w:t xml:space="preserve"> KM. </w:t>
      </w:r>
      <w:r w:rsidR="00187D58">
        <w:t xml:space="preserve">Obzirom da se ovdje radi o zaostalim obvezama na temelju poreza na promet dobara i usluga ne postoji egzaktan mehanizam njihovog realnog planiranja. Naime iz godine u godinu se očekuje postupno smanjivanje prihoda po osnovi domaćih poreza na dobra i usluge sve do njihovog potpunog ukidanja, međutim promatrajući njihovu realizaciju ne može se </w:t>
      </w:r>
      <w:r w:rsidR="00E361CC">
        <w:t xml:space="preserve">sa sigurnošću </w:t>
      </w:r>
      <w:r w:rsidR="00187D58">
        <w:t>utvrd</w:t>
      </w:r>
      <w:r w:rsidR="00E361CC">
        <w:t>iti trend kretanja ovih prihoda</w:t>
      </w:r>
      <w:r w:rsidR="008177B5">
        <w:t>.</w:t>
      </w:r>
    </w:p>
    <w:p w:rsidR="009554E4" w:rsidRPr="003B5D0E" w:rsidRDefault="009554E4" w:rsidP="009554E4">
      <w:pPr>
        <w:pStyle w:val="Uvuenotijeloteksta"/>
        <w:spacing w:line="240" w:lineRule="auto"/>
        <w:rPr>
          <w:sz w:val="20"/>
          <w:szCs w:val="20"/>
        </w:rPr>
      </w:pPr>
    </w:p>
    <w:p w:rsidR="009554E4" w:rsidRDefault="009554E4" w:rsidP="009554E4">
      <w:pPr>
        <w:pStyle w:val="Uvuenotijeloteksta"/>
        <w:spacing w:line="240" w:lineRule="auto"/>
        <w:ind w:firstLine="0"/>
      </w:pPr>
      <w:r w:rsidRPr="000A683A">
        <w:rPr>
          <w:b/>
        </w:rPr>
        <w:t>Prihodi po osnovi poreza na dohodak (potkategorija 716000)</w:t>
      </w:r>
      <w:r>
        <w:t xml:space="preserve"> ostvareni su u iznosu od </w:t>
      </w:r>
      <w:r w:rsidR="00DC1C33">
        <w:t>2.247.225</w:t>
      </w:r>
      <w:r>
        <w:t xml:space="preserve"> KM</w:t>
      </w:r>
      <w:r w:rsidR="007E6526">
        <w:t>,</w:t>
      </w:r>
      <w:r>
        <w:t xml:space="preserve"> odnosno </w:t>
      </w:r>
      <w:r w:rsidR="00DC1C33">
        <w:t>105,06</w:t>
      </w:r>
      <w:r>
        <w:t xml:space="preserve">% u odnosu na </w:t>
      </w:r>
      <w:r w:rsidR="00D00A93">
        <w:t xml:space="preserve">ukupno </w:t>
      </w:r>
      <w:r>
        <w:t>planirane prihode</w:t>
      </w:r>
      <w:r w:rsidR="00D00A93">
        <w:t xml:space="preserve"> po ovoj osnovi</w:t>
      </w:r>
      <w:r>
        <w:t xml:space="preserve">. U strukturi prihoda od poreza na dohodak najveće učešće imaju prihodi od poreza na dohodak fizičkih osoba od nesamostalnih djelatnosti (analitički konto 716111) u visini od </w:t>
      </w:r>
      <w:r w:rsidR="005B77E5">
        <w:t>1.</w:t>
      </w:r>
      <w:r w:rsidR="00DC1C33">
        <w:t>645</w:t>
      </w:r>
      <w:r w:rsidR="005B77E5">
        <w:t>.</w:t>
      </w:r>
      <w:r w:rsidR="00DC1C33">
        <w:t>647</w:t>
      </w:r>
      <w:r>
        <w:t xml:space="preserve"> KM ili </w:t>
      </w:r>
      <w:r w:rsidR="00DC1C33">
        <w:t>73,23</w:t>
      </w:r>
      <w:r>
        <w:t>%</w:t>
      </w:r>
      <w:r w:rsidR="00D00A93">
        <w:t xml:space="preserve"> </w:t>
      </w:r>
      <w:r>
        <w:t xml:space="preserve">ukupno ostvarenih prihoda po ovoj namjeni u promatranom razdoblju. </w:t>
      </w:r>
      <w:r w:rsidR="00A64280">
        <w:t xml:space="preserve">Značajan udio u iznosu ovih prihoda imaju i </w:t>
      </w:r>
      <w:r w:rsidR="00A53192">
        <w:t>prihodi od poreza na dohodak fizičkih osoba na dobitke od nagradnih igara i igara na sreću (</w:t>
      </w:r>
      <w:r w:rsidR="00DC1C33">
        <w:t>161.445</w:t>
      </w:r>
      <w:r w:rsidR="002D2EA6">
        <w:t xml:space="preserve"> KM</w:t>
      </w:r>
      <w:r w:rsidR="00A53192">
        <w:t xml:space="preserve">), </w:t>
      </w:r>
      <w:r w:rsidR="002D2EA6">
        <w:t>prihodi od poreza na dohodak od drugih samostalnih djelatnosti (</w:t>
      </w:r>
      <w:r w:rsidR="00DC1C33">
        <w:t>141.210</w:t>
      </w:r>
      <w:r w:rsidR="002D2EA6">
        <w:t xml:space="preserve"> KM), </w:t>
      </w:r>
      <w:r w:rsidR="004748E5">
        <w:t>prihodi od poreza na dohodak po konačnom obračunu (</w:t>
      </w:r>
      <w:r w:rsidR="00DC1C33">
        <w:t>128.030</w:t>
      </w:r>
      <w:r w:rsidR="002D2EA6">
        <w:t xml:space="preserve"> KM)</w:t>
      </w:r>
      <w:r w:rsidR="00A64280">
        <w:t xml:space="preserve">. </w:t>
      </w:r>
      <w:r>
        <w:t>Usporedbom s planom prihoda po ovoj osnovi za razdoblje siječanj-</w:t>
      </w:r>
      <w:r w:rsidR="00DC1C33">
        <w:t>rujan</w:t>
      </w:r>
      <w:r>
        <w:t xml:space="preserve"> 20</w:t>
      </w:r>
      <w:r w:rsidR="00F94512">
        <w:t>20</w:t>
      </w:r>
      <w:r>
        <w:t xml:space="preserve">. godine ostvarenje je </w:t>
      </w:r>
      <w:r w:rsidR="005B77E5">
        <w:t>veće</w:t>
      </w:r>
      <w:r>
        <w:t xml:space="preserve"> za </w:t>
      </w:r>
      <w:r w:rsidR="005B77E5">
        <w:t>40,</w:t>
      </w:r>
      <w:r w:rsidR="00DC1C33">
        <w:t>07</w:t>
      </w:r>
      <w:r>
        <w:t>%</w:t>
      </w:r>
      <w:r w:rsidR="004748E5">
        <w:t>,</w:t>
      </w:r>
      <w:r>
        <w:t xml:space="preserve"> odnosno u apsolutnom iznosu </w:t>
      </w:r>
      <w:r w:rsidR="005B77E5">
        <w:t>veće</w:t>
      </w:r>
      <w:r w:rsidR="008177B5">
        <w:t xml:space="preserve"> </w:t>
      </w:r>
      <w:r>
        <w:t xml:space="preserve">za </w:t>
      </w:r>
      <w:r w:rsidR="00DC1C33">
        <w:t>642.923</w:t>
      </w:r>
      <w:r>
        <w:t xml:space="preserve"> KM. U odnosu na ostvarene prihode po osnovi poreza na dohodak u istom razdoblju fiskalne 201</w:t>
      </w:r>
      <w:r w:rsidR="00F94512">
        <w:t>9</w:t>
      </w:r>
      <w:r>
        <w:t>. godine uočava</w:t>
      </w:r>
      <w:r w:rsidR="005B77E5">
        <w:t xml:space="preserve"> se</w:t>
      </w:r>
      <w:r>
        <w:t xml:space="preserve"> </w:t>
      </w:r>
      <w:r w:rsidR="00F94512">
        <w:t>smanjenje</w:t>
      </w:r>
      <w:r>
        <w:t xml:space="preserve"> od </w:t>
      </w:r>
      <w:r w:rsidR="00DC1C33">
        <w:t>2,90</w:t>
      </w:r>
      <w:r>
        <w:t>%</w:t>
      </w:r>
      <w:r w:rsidR="004748E5">
        <w:t>,</w:t>
      </w:r>
      <w:r w:rsidR="007E6526">
        <w:t xml:space="preserve"> ili u apsolutnom iznosu </w:t>
      </w:r>
      <w:r w:rsidR="00F94512">
        <w:t>smanjenje</w:t>
      </w:r>
      <w:r w:rsidR="004748E5">
        <w:t xml:space="preserve"> za</w:t>
      </w:r>
      <w:r w:rsidR="007E6526">
        <w:t xml:space="preserve"> </w:t>
      </w:r>
      <w:r w:rsidR="00DC1C33">
        <w:t>67.028</w:t>
      </w:r>
      <w:r w:rsidR="007E6526">
        <w:t xml:space="preserve"> KM</w:t>
      </w:r>
      <w:r>
        <w:t>.</w:t>
      </w:r>
      <w:r w:rsidR="002D2EA6">
        <w:t xml:space="preserve"> </w:t>
      </w:r>
      <w:r w:rsidR="005B77E5">
        <w:t xml:space="preserve">Kao i u slučaju prihoda od poreza na dobit poduzeća i plan prihoda od poreza na dohodak preuzet je iz revidiranih projekcija prihoda Federalnog ministarstva financija iz svibnja 2020. godine, koje su, obzirom na neizvjesnost u uvjetima </w:t>
      </w:r>
      <w:proofErr w:type="spellStart"/>
      <w:r w:rsidR="005B77E5">
        <w:t>pandemije</w:t>
      </w:r>
      <w:proofErr w:type="spellEnd"/>
      <w:r w:rsidR="005B77E5">
        <w:t xml:space="preserve">, rađene s krajnjim oprezom i utemeljene na konzervativnom pristupu. </w:t>
      </w:r>
      <w:r w:rsidR="00DC1C33">
        <w:t xml:space="preserve">Međutim, </w:t>
      </w:r>
      <w:r w:rsidR="00736E60">
        <w:t xml:space="preserve">projekcije su se pokazale </w:t>
      </w:r>
      <w:proofErr w:type="spellStart"/>
      <w:r w:rsidR="00736E60">
        <w:t>prekritičnima</w:t>
      </w:r>
      <w:proofErr w:type="spellEnd"/>
      <w:r w:rsidR="00736E60">
        <w:t xml:space="preserve">, obzirom da se može zaključiti da, unatoč stanju </w:t>
      </w:r>
      <w:proofErr w:type="spellStart"/>
      <w:r w:rsidR="00736E60">
        <w:t>pandemije</w:t>
      </w:r>
      <w:proofErr w:type="spellEnd"/>
      <w:r w:rsidR="00736E60">
        <w:t xml:space="preserve">, uopće nije došlo do pada prihoda od poreza na dohodak fizičkih osoba od nesamostalne djelatnosti, niti prihoda od poreza na dohodak po konačnom obračunu u odnosu na prethodnu godinu (a koji predstavljaju najveće stavke u ukupnim prihodima od poreza na dohodak). Pad u odnosu na isto razdoblje prethodne godine se uočava na ostalim kategorijama prihoda od poreza na dohodak (od 5,53% do 26,38%), no učešće tih prihoda u ukupnim prihodima od poreza na dohodak </w:t>
      </w:r>
      <w:r w:rsidR="00016A3D">
        <w:t>je znatno manje od dvije prethodno navedene kategorije prihoda.</w:t>
      </w:r>
    </w:p>
    <w:p w:rsidR="00A64280" w:rsidRDefault="00A64280" w:rsidP="009554E4">
      <w:pPr>
        <w:pStyle w:val="Uvuenotijeloteksta"/>
        <w:spacing w:line="240" w:lineRule="auto"/>
        <w:ind w:firstLine="0"/>
      </w:pPr>
    </w:p>
    <w:p w:rsidR="005E3AB0" w:rsidRDefault="009554E4" w:rsidP="00A64280">
      <w:pPr>
        <w:pStyle w:val="Uvuenotijeloteksta"/>
        <w:spacing w:line="240" w:lineRule="auto"/>
        <w:ind w:firstLine="0"/>
      </w:pPr>
      <w:r w:rsidRPr="000A683A">
        <w:rPr>
          <w:b/>
        </w:rPr>
        <w:t>Prihodi od neizravnih poreza (potkategorija 717000)</w:t>
      </w:r>
      <w:r w:rsidRPr="00A64043">
        <w:t xml:space="preserve"> ostvareni su u visini od </w:t>
      </w:r>
      <w:r w:rsidR="00016A3D">
        <w:t>20.635.561</w:t>
      </w:r>
      <w:r w:rsidRPr="00A64043">
        <w:t xml:space="preserve"> KM, odnosno </w:t>
      </w:r>
      <w:r w:rsidR="00016A3D">
        <w:t>74,08</w:t>
      </w:r>
      <w:r w:rsidRPr="00A64043">
        <w:t xml:space="preserve">% u odnosu na </w:t>
      </w:r>
      <w:r w:rsidR="006E0B0B">
        <w:t xml:space="preserve">ukupno </w:t>
      </w:r>
      <w:r w:rsidRPr="00A64043">
        <w:t>planirane prihode</w:t>
      </w:r>
      <w:r w:rsidR="006E0B0B">
        <w:t xml:space="preserve"> po ovoj osnovi</w:t>
      </w:r>
      <w:r w:rsidRPr="00A64043">
        <w:t xml:space="preserve">. </w:t>
      </w:r>
      <w:r w:rsidR="003D1644">
        <w:t xml:space="preserve">Pri tom je važno naglasiti da je iznos od </w:t>
      </w:r>
      <w:r w:rsidR="00016A3D">
        <w:t>549.390</w:t>
      </w:r>
      <w:r w:rsidR="003D1644">
        <w:t xml:space="preserve"> KM prihoda od neizravnih poreza na ime financiranja autocesta u </w:t>
      </w:r>
      <w:proofErr w:type="spellStart"/>
      <w:r w:rsidR="003D1644">
        <w:t>FBiH</w:t>
      </w:r>
      <w:proofErr w:type="spellEnd"/>
      <w:r w:rsidR="003D1644">
        <w:t xml:space="preserve"> (analitički konto 717114)</w:t>
      </w:r>
      <w:r w:rsidR="00016A3D">
        <w:t>, i iznos od 355.433 KM prihoda od neizravnih poreza koji pripadaju Direkciji cesta (analitički konto 717131)</w:t>
      </w:r>
      <w:r w:rsidR="003D1644">
        <w:t xml:space="preserve"> prihodovan s razgraničenja za potrebe potrošnje u okviru Granta za razvoj</w:t>
      </w:r>
      <w:r w:rsidR="0093128F">
        <w:t xml:space="preserve"> poduzetništva, obrta i zadruga</w:t>
      </w:r>
      <w:r w:rsidR="00016A3D">
        <w:t xml:space="preserve"> i Transfera za zdravstvene institucije i centre za socijalni rad</w:t>
      </w:r>
      <w:r w:rsidR="0093128F">
        <w:t xml:space="preserve">, što znači da stvarna realizacija ovih prihoda iznosi </w:t>
      </w:r>
      <w:r w:rsidR="00016A3D" w:rsidRPr="00016A3D">
        <w:rPr>
          <w:b/>
        </w:rPr>
        <w:t>19.730.738</w:t>
      </w:r>
      <w:r w:rsidR="0093128F" w:rsidRPr="00016A3D">
        <w:rPr>
          <w:b/>
        </w:rPr>
        <w:t xml:space="preserve"> KM</w:t>
      </w:r>
      <w:r w:rsidR="0093128F">
        <w:t>.</w:t>
      </w:r>
      <w:r w:rsidR="003D1644">
        <w:t xml:space="preserve"> </w:t>
      </w:r>
      <w:r w:rsidRPr="00A64043">
        <w:t>Usporedbom s ostvarenjem u istom razdoblju fiskalne 201</w:t>
      </w:r>
      <w:r w:rsidR="00F94512">
        <w:t>9</w:t>
      </w:r>
      <w:r w:rsidRPr="00A64043">
        <w:t xml:space="preserve">.godine, ovi prihodi su </w:t>
      </w:r>
      <w:r w:rsidR="005B77E5">
        <w:t xml:space="preserve">značajno smanjeni </w:t>
      </w:r>
      <w:r w:rsidR="003D1644">
        <w:t>(manji</w:t>
      </w:r>
      <w:r w:rsidRPr="00A64043">
        <w:t xml:space="preserve"> za </w:t>
      </w:r>
      <w:r w:rsidR="00016A3D">
        <w:t>4.276.691</w:t>
      </w:r>
      <w:r w:rsidRPr="00A64043">
        <w:t xml:space="preserve"> KM, </w:t>
      </w:r>
      <w:r w:rsidRPr="00C17588">
        <w:t xml:space="preserve">odnosno </w:t>
      </w:r>
      <w:r w:rsidR="00016A3D">
        <w:t>17,81</w:t>
      </w:r>
      <w:r w:rsidRPr="00C17588">
        <w:t>%</w:t>
      </w:r>
      <w:r w:rsidR="006E0B0B" w:rsidRPr="00C17588">
        <w:t xml:space="preserve"> </w:t>
      </w:r>
      <w:r w:rsidR="005B77E5">
        <w:t>manji</w:t>
      </w:r>
      <w:r w:rsidR="003D1644">
        <w:t>)</w:t>
      </w:r>
      <w:r w:rsidRPr="00C17588">
        <w:t xml:space="preserve">. </w:t>
      </w:r>
      <w:r w:rsidR="002D2EA6" w:rsidRPr="00C17588">
        <w:t xml:space="preserve">Ovdje je potrebno uzeti u obzir da </w:t>
      </w:r>
      <w:r w:rsidR="00F94512" w:rsidRPr="00C17588">
        <w:t xml:space="preserve">je od 01.01.2020. godine na snazi Odluka o </w:t>
      </w:r>
      <w:r w:rsidR="00C17588" w:rsidRPr="00C17588">
        <w:t>u</w:t>
      </w:r>
      <w:r w:rsidR="00C17588" w:rsidRPr="00C17588">
        <w:rPr>
          <w:bCs/>
        </w:rPr>
        <w:t xml:space="preserve">tvrđivanju udjela općina Županije Posavske u prihodu ostvarenom na temelju prihoda od neizravnih poreza koji pripadaju Direkciji cesta i prihoda od neizravnih poreza na ime financiranja autocesta u Federaciji Bosne i Hercegovine („Narodne novine Županije Posavske“, broj: 14/19), kojom se propisuje raspodjela prihoda ostvarenih na temelju prihoda od neizravnih poreza na ime financiranja autocesta u </w:t>
      </w:r>
      <w:proofErr w:type="spellStart"/>
      <w:r w:rsidR="00C17588" w:rsidRPr="00C17588">
        <w:rPr>
          <w:bCs/>
        </w:rPr>
        <w:t>FBiH</w:t>
      </w:r>
      <w:proofErr w:type="spellEnd"/>
      <w:r w:rsidR="00C17588" w:rsidRPr="00C17588">
        <w:rPr>
          <w:bCs/>
        </w:rPr>
        <w:t xml:space="preserve"> (analitički konto 717114) općinama u ukupnom udjelu od 42% ukupnog </w:t>
      </w:r>
      <w:r w:rsidR="00C17588">
        <w:rPr>
          <w:bCs/>
        </w:rPr>
        <w:t>ostvarenog iznosa</w:t>
      </w:r>
      <w:r w:rsidR="00C17588" w:rsidRPr="00C17588">
        <w:rPr>
          <w:bCs/>
        </w:rPr>
        <w:t>.</w:t>
      </w:r>
      <w:r w:rsidR="00C17588">
        <w:rPr>
          <w:bCs/>
        </w:rPr>
        <w:t xml:space="preserve"> </w:t>
      </w:r>
      <w:r w:rsidR="00C17588">
        <w:t xml:space="preserve">Sukladno </w:t>
      </w:r>
      <w:r w:rsidR="000E3064">
        <w:t>Uputi o određivanju udjela kantona, jedinica lokalne samouprave i nadležnih kantonalnih ustanova za ceste u prihodima od neizravnih poreza i načinu raspoređivanja tih prihoda za 20</w:t>
      </w:r>
      <w:r w:rsidR="00C17588">
        <w:t>20</w:t>
      </w:r>
      <w:r w:rsidR="000E3064">
        <w:t xml:space="preserve">. godinu („Službene novine Federacije BiH“, broj: </w:t>
      </w:r>
      <w:r w:rsidR="00C17588">
        <w:t>84</w:t>
      </w:r>
      <w:r w:rsidR="000E3064">
        <w:t>/1</w:t>
      </w:r>
      <w:r w:rsidR="00C17588">
        <w:t>9</w:t>
      </w:r>
      <w:r w:rsidR="000E3064">
        <w:t>) udjel Županije Posa</w:t>
      </w:r>
      <w:r w:rsidR="002D7430">
        <w:t>vske u tekućoj godini iznosi 2,0</w:t>
      </w:r>
      <w:r w:rsidR="00C17588">
        <w:t>03</w:t>
      </w:r>
      <w:r w:rsidR="000E3064">
        <w:t>%. Isti je u 201</w:t>
      </w:r>
      <w:r w:rsidR="00C17588">
        <w:t>9</w:t>
      </w:r>
      <w:r w:rsidR="000E3064">
        <w:t xml:space="preserve">. godini iznosio </w:t>
      </w:r>
      <w:r w:rsidR="00C17588">
        <w:t>2,050</w:t>
      </w:r>
      <w:r w:rsidR="000E3064">
        <w:t xml:space="preserve">%, što u ovoj godini znači smanjenje za </w:t>
      </w:r>
      <w:r w:rsidR="004748E5">
        <w:t>2,</w:t>
      </w:r>
      <w:r w:rsidR="00C17588">
        <w:t>29</w:t>
      </w:r>
      <w:r w:rsidR="003D1644">
        <w:t>%. Nadalje, revidiranim projekcijama</w:t>
      </w:r>
      <w:r w:rsidR="000E3064">
        <w:t xml:space="preserve"> </w:t>
      </w:r>
      <w:r w:rsidR="003D1644">
        <w:lastRenderedPageBreak/>
        <w:t xml:space="preserve">prihoda Federalnog ministarstva financija iz svibnja 2020. godine procijenjeno je da će pad prihoda od neizravnih poreza (uključujući upravitelje cesta) za Proračun Županije Posavske u 2020. godini iznositi nešto manje od 17% u odnosu na 2019. godinu, kao posljedica pada ekonomskih aktivnosti uslijed </w:t>
      </w:r>
      <w:proofErr w:type="spellStart"/>
      <w:r w:rsidR="003D1644">
        <w:t>pandemije</w:t>
      </w:r>
      <w:proofErr w:type="spellEnd"/>
      <w:r w:rsidR="003D1644">
        <w:t xml:space="preserve"> COVID-19 virusa. </w:t>
      </w:r>
    </w:p>
    <w:p w:rsidR="000B1043" w:rsidRPr="00175533" w:rsidRDefault="000B1043" w:rsidP="00A64280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A64280" w:rsidRDefault="00A64280" w:rsidP="00A64280">
      <w:pPr>
        <w:pStyle w:val="Uvuenotijeloteksta"/>
        <w:spacing w:line="240" w:lineRule="auto"/>
        <w:ind w:firstLine="0"/>
      </w:pPr>
      <w:r>
        <w:t xml:space="preserve">U nastavku je tablično prikazano kretanje naplate po osnovi prihoda od neizravnih poreza u </w:t>
      </w:r>
      <w:r w:rsidR="00BC3649">
        <w:t>razdoblju od 01.01.-</w:t>
      </w:r>
      <w:r w:rsidR="003D1644">
        <w:t>30</w:t>
      </w:r>
      <w:r w:rsidR="00BC3649">
        <w:t>.0</w:t>
      </w:r>
      <w:r w:rsidR="00016A3D">
        <w:t>9</w:t>
      </w:r>
      <w:r w:rsidR="00BC3649">
        <w:t>.20</w:t>
      </w:r>
      <w:r w:rsidR="003D4EBA">
        <w:t>20</w:t>
      </w:r>
      <w:r w:rsidR="00BC3649">
        <w:t>. godine</w:t>
      </w:r>
      <w:r>
        <w:t xml:space="preserve"> po mjesecima.</w:t>
      </w:r>
    </w:p>
    <w:p w:rsidR="002D2EA6" w:rsidRDefault="002D2EA6" w:rsidP="00A64280">
      <w:pPr>
        <w:pStyle w:val="Uvuenotijeloteksta"/>
        <w:spacing w:line="240" w:lineRule="auto"/>
        <w:ind w:firstLine="0"/>
      </w:pPr>
    </w:p>
    <w:p w:rsidR="00A832B5" w:rsidRPr="00FD3224" w:rsidRDefault="00A832B5" w:rsidP="00A832B5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t xml:space="preserve">Tablica </w:t>
      </w:r>
      <w:r>
        <w:rPr>
          <w:sz w:val="20"/>
          <w:szCs w:val="20"/>
        </w:rPr>
        <w:t>3</w:t>
      </w:r>
      <w:r w:rsidRPr="00FD3224">
        <w:rPr>
          <w:sz w:val="20"/>
          <w:szCs w:val="20"/>
        </w:rPr>
        <w:t xml:space="preserve">. </w:t>
      </w:r>
      <w:r>
        <w:rPr>
          <w:sz w:val="20"/>
          <w:szCs w:val="20"/>
        </w:rPr>
        <w:t>Naplata prihoda od neizravnih poreza</w:t>
      </w:r>
      <w:r w:rsidRPr="00FD3224">
        <w:rPr>
          <w:sz w:val="20"/>
          <w:szCs w:val="20"/>
        </w:rPr>
        <w:t xml:space="preserve"> u razdoblju 01.01.-</w:t>
      </w:r>
      <w:r w:rsidR="003D1644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016A3D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3D4EBA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 po mjesecima</w:t>
      </w:r>
    </w:p>
    <w:tbl>
      <w:tblPr>
        <w:tblStyle w:val="Srednjipopis21"/>
        <w:tblW w:w="0" w:type="auto"/>
        <w:jc w:val="center"/>
        <w:tblLook w:val="04A0"/>
      </w:tblPr>
      <w:tblGrid>
        <w:gridCol w:w="1701"/>
        <w:gridCol w:w="1843"/>
        <w:gridCol w:w="1843"/>
        <w:gridCol w:w="1842"/>
        <w:gridCol w:w="1809"/>
      </w:tblGrid>
      <w:tr w:rsidR="002D7430" w:rsidRPr="0024493C" w:rsidTr="002D7430">
        <w:trPr>
          <w:cnfStyle w:val="100000000000"/>
          <w:jc w:val="center"/>
        </w:trPr>
        <w:tc>
          <w:tcPr>
            <w:cnfStyle w:val="001000000100"/>
            <w:tcW w:w="1701" w:type="dxa"/>
            <w:vAlign w:val="center"/>
          </w:tcPr>
          <w:p w:rsidR="002D7430" w:rsidRPr="0024493C" w:rsidRDefault="002D7430" w:rsidP="00957836">
            <w:pPr>
              <w:pStyle w:val="Uvuenotijeloteksta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4493C">
              <w:rPr>
                <w:b/>
                <w:sz w:val="20"/>
                <w:szCs w:val="20"/>
              </w:rPr>
              <w:t>MJESEC</w:t>
            </w:r>
          </w:p>
        </w:tc>
        <w:tc>
          <w:tcPr>
            <w:tcW w:w="1843" w:type="dxa"/>
          </w:tcPr>
          <w:p w:rsidR="002D7430" w:rsidRPr="0024493C" w:rsidRDefault="002D7430" w:rsidP="002D7430">
            <w:pPr>
              <w:pStyle w:val="Uvuenotijeloteksta"/>
              <w:spacing w:line="240" w:lineRule="auto"/>
              <w:ind w:firstLine="0"/>
              <w:jc w:val="center"/>
              <w:cnfStyle w:val="1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717114 – </w:t>
            </w:r>
            <w:proofErr w:type="spellStart"/>
            <w:r w:rsidRPr="00A12B5C">
              <w:rPr>
                <w:b/>
                <w:sz w:val="20"/>
                <w:szCs w:val="20"/>
              </w:rPr>
              <w:t>Financ.autocesta</w:t>
            </w:r>
            <w:proofErr w:type="spellEnd"/>
          </w:p>
        </w:tc>
        <w:tc>
          <w:tcPr>
            <w:tcW w:w="1843" w:type="dxa"/>
            <w:vAlign w:val="center"/>
          </w:tcPr>
          <w:p w:rsidR="002D7430" w:rsidRPr="0024493C" w:rsidRDefault="002D7430" w:rsidP="00957836">
            <w:pPr>
              <w:pStyle w:val="Uvuenotijeloteksta"/>
              <w:spacing w:line="240" w:lineRule="auto"/>
              <w:ind w:firstLine="0"/>
              <w:jc w:val="center"/>
              <w:cnfStyle w:val="100000000000"/>
              <w:rPr>
                <w:b/>
                <w:sz w:val="20"/>
                <w:szCs w:val="20"/>
              </w:rPr>
            </w:pPr>
            <w:r w:rsidRPr="0024493C">
              <w:rPr>
                <w:b/>
                <w:sz w:val="20"/>
                <w:szCs w:val="20"/>
              </w:rPr>
              <w:t>717121 –</w:t>
            </w:r>
          </w:p>
          <w:p w:rsidR="002D7430" w:rsidRPr="0024493C" w:rsidRDefault="002D7430" w:rsidP="00957836">
            <w:pPr>
              <w:pStyle w:val="Uvuenotijeloteksta"/>
              <w:spacing w:line="240" w:lineRule="auto"/>
              <w:ind w:firstLine="0"/>
              <w:jc w:val="center"/>
              <w:cnfStyle w:val="100000000000"/>
              <w:rPr>
                <w:b/>
                <w:sz w:val="20"/>
                <w:szCs w:val="20"/>
              </w:rPr>
            </w:pPr>
            <w:r w:rsidRPr="0024493C">
              <w:rPr>
                <w:b/>
                <w:sz w:val="20"/>
                <w:szCs w:val="20"/>
              </w:rPr>
              <w:t>Županija</w:t>
            </w:r>
          </w:p>
        </w:tc>
        <w:tc>
          <w:tcPr>
            <w:tcW w:w="1842" w:type="dxa"/>
            <w:vAlign w:val="center"/>
          </w:tcPr>
          <w:p w:rsidR="002D7430" w:rsidRPr="0024493C" w:rsidRDefault="002D7430" w:rsidP="00957836">
            <w:pPr>
              <w:pStyle w:val="Uvuenotijeloteksta"/>
              <w:spacing w:line="240" w:lineRule="auto"/>
              <w:ind w:firstLine="0"/>
              <w:jc w:val="center"/>
              <w:cnfStyle w:val="100000000000"/>
              <w:rPr>
                <w:b/>
                <w:sz w:val="20"/>
                <w:szCs w:val="20"/>
              </w:rPr>
            </w:pPr>
            <w:r w:rsidRPr="0024493C">
              <w:rPr>
                <w:b/>
                <w:sz w:val="20"/>
                <w:szCs w:val="20"/>
              </w:rPr>
              <w:t>717131 –</w:t>
            </w:r>
          </w:p>
          <w:p w:rsidR="002D7430" w:rsidRPr="0024493C" w:rsidRDefault="002D7430" w:rsidP="00957836">
            <w:pPr>
              <w:pStyle w:val="Uvuenotijeloteksta"/>
              <w:spacing w:line="240" w:lineRule="auto"/>
              <w:ind w:firstLine="0"/>
              <w:jc w:val="center"/>
              <w:cnfStyle w:val="100000000000"/>
              <w:rPr>
                <w:b/>
                <w:sz w:val="20"/>
                <w:szCs w:val="20"/>
              </w:rPr>
            </w:pPr>
            <w:r w:rsidRPr="0024493C">
              <w:rPr>
                <w:b/>
                <w:sz w:val="20"/>
                <w:szCs w:val="20"/>
              </w:rPr>
              <w:t>Direkcija cesta</w:t>
            </w:r>
          </w:p>
        </w:tc>
        <w:tc>
          <w:tcPr>
            <w:tcW w:w="1809" w:type="dxa"/>
            <w:vAlign w:val="center"/>
          </w:tcPr>
          <w:p w:rsidR="002D7430" w:rsidRPr="0024493C" w:rsidRDefault="002D7430" w:rsidP="00957836">
            <w:pPr>
              <w:pStyle w:val="Uvuenotijeloteksta"/>
              <w:spacing w:line="240" w:lineRule="auto"/>
              <w:ind w:firstLine="0"/>
              <w:jc w:val="center"/>
              <w:cnfStyle w:val="100000000000"/>
              <w:rPr>
                <w:b/>
                <w:sz w:val="20"/>
                <w:szCs w:val="20"/>
              </w:rPr>
            </w:pPr>
            <w:r w:rsidRPr="0024493C">
              <w:rPr>
                <w:b/>
                <w:sz w:val="20"/>
                <w:szCs w:val="20"/>
              </w:rPr>
              <w:t>717 –</w:t>
            </w:r>
          </w:p>
          <w:p w:rsidR="002D7430" w:rsidRPr="0024493C" w:rsidRDefault="002D7430" w:rsidP="00957836">
            <w:pPr>
              <w:pStyle w:val="Uvuenotijeloteksta"/>
              <w:spacing w:line="240" w:lineRule="auto"/>
              <w:ind w:firstLine="0"/>
              <w:jc w:val="center"/>
              <w:cnfStyle w:val="100000000000"/>
              <w:rPr>
                <w:b/>
                <w:sz w:val="20"/>
                <w:szCs w:val="20"/>
              </w:rPr>
            </w:pPr>
            <w:r w:rsidRPr="0024493C">
              <w:rPr>
                <w:b/>
                <w:sz w:val="20"/>
                <w:szCs w:val="20"/>
              </w:rPr>
              <w:t>Ukupno</w:t>
            </w:r>
          </w:p>
        </w:tc>
      </w:tr>
      <w:tr w:rsidR="002D7430" w:rsidRPr="00380E6C" w:rsidTr="002D7430">
        <w:trPr>
          <w:cnfStyle w:val="000000100000"/>
          <w:jc w:val="center"/>
        </w:trPr>
        <w:tc>
          <w:tcPr>
            <w:cnfStyle w:val="001000000000"/>
            <w:tcW w:w="1701" w:type="dxa"/>
          </w:tcPr>
          <w:p w:rsidR="002D7430" w:rsidRPr="00380E6C" w:rsidRDefault="002D7430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E6C">
              <w:rPr>
                <w:sz w:val="22"/>
                <w:szCs w:val="22"/>
              </w:rPr>
              <w:t>01/20</w:t>
            </w:r>
            <w:r w:rsidR="003D4EB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2D7430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27.881,15</w:t>
            </w:r>
          </w:p>
        </w:tc>
        <w:tc>
          <w:tcPr>
            <w:tcW w:w="1843" w:type="dxa"/>
          </w:tcPr>
          <w:p w:rsidR="002D7430" w:rsidRPr="00380E6C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2.393.223,58</w:t>
            </w:r>
          </w:p>
        </w:tc>
        <w:tc>
          <w:tcPr>
            <w:tcW w:w="1842" w:type="dxa"/>
          </w:tcPr>
          <w:p w:rsidR="002D7430" w:rsidRPr="00380E6C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66.788,86</w:t>
            </w:r>
          </w:p>
        </w:tc>
        <w:tc>
          <w:tcPr>
            <w:tcW w:w="1809" w:type="dxa"/>
          </w:tcPr>
          <w:p w:rsidR="002D7430" w:rsidRPr="00380E6C" w:rsidRDefault="002B4957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3D4EBA">
              <w:rPr>
                <w:sz w:val="22"/>
                <w:szCs w:val="22"/>
              </w:rPr>
              <w:instrText xml:space="preserve"> =SUM(LEFT) </w:instrText>
            </w:r>
            <w:r>
              <w:rPr>
                <w:sz w:val="22"/>
                <w:szCs w:val="22"/>
              </w:rPr>
              <w:fldChar w:fldCharType="separate"/>
            </w:r>
            <w:r w:rsidR="003D4EBA">
              <w:rPr>
                <w:noProof/>
                <w:sz w:val="22"/>
                <w:szCs w:val="22"/>
              </w:rPr>
              <w:t>2.487.893,59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D7430" w:rsidRPr="00380E6C" w:rsidTr="002D7430">
        <w:trPr>
          <w:jc w:val="center"/>
        </w:trPr>
        <w:tc>
          <w:tcPr>
            <w:cnfStyle w:val="001000000000"/>
            <w:tcW w:w="1701" w:type="dxa"/>
          </w:tcPr>
          <w:p w:rsidR="002D7430" w:rsidRPr="00380E6C" w:rsidRDefault="002D7430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E6C">
              <w:rPr>
                <w:sz w:val="22"/>
                <w:szCs w:val="22"/>
              </w:rPr>
              <w:t>02/20</w:t>
            </w:r>
            <w:r w:rsidR="003D4EB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2D7430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21.848,68</w:t>
            </w:r>
          </w:p>
        </w:tc>
        <w:tc>
          <w:tcPr>
            <w:tcW w:w="1843" w:type="dxa"/>
          </w:tcPr>
          <w:p w:rsidR="002D7430" w:rsidRPr="00380E6C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2.368.214,77</w:t>
            </w:r>
          </w:p>
        </w:tc>
        <w:tc>
          <w:tcPr>
            <w:tcW w:w="1842" w:type="dxa"/>
          </w:tcPr>
          <w:p w:rsidR="002D7430" w:rsidRPr="00380E6C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66.090,96</w:t>
            </w:r>
          </w:p>
        </w:tc>
        <w:tc>
          <w:tcPr>
            <w:tcW w:w="1809" w:type="dxa"/>
          </w:tcPr>
          <w:p w:rsidR="002D7430" w:rsidRPr="00380E6C" w:rsidRDefault="002B4957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3D4EBA">
              <w:rPr>
                <w:sz w:val="22"/>
                <w:szCs w:val="22"/>
              </w:rPr>
              <w:instrText xml:space="preserve"> =SUM(left) </w:instrText>
            </w:r>
            <w:r>
              <w:rPr>
                <w:sz w:val="22"/>
                <w:szCs w:val="22"/>
              </w:rPr>
              <w:fldChar w:fldCharType="separate"/>
            </w:r>
            <w:r w:rsidR="003D4EBA">
              <w:rPr>
                <w:noProof/>
                <w:sz w:val="22"/>
                <w:szCs w:val="22"/>
              </w:rPr>
              <w:t>2.456.154,41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D7430" w:rsidRPr="00380E6C" w:rsidTr="002D7430">
        <w:trPr>
          <w:cnfStyle w:val="000000100000"/>
          <w:jc w:val="center"/>
        </w:trPr>
        <w:tc>
          <w:tcPr>
            <w:cnfStyle w:val="001000000000"/>
            <w:tcW w:w="1701" w:type="dxa"/>
          </w:tcPr>
          <w:p w:rsidR="002D7430" w:rsidRPr="00380E6C" w:rsidRDefault="002D7430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E6C">
              <w:rPr>
                <w:sz w:val="22"/>
                <w:szCs w:val="22"/>
              </w:rPr>
              <w:t>03/20</w:t>
            </w:r>
            <w:r w:rsidR="003D4EBA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2D7430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22.247,05</w:t>
            </w:r>
          </w:p>
        </w:tc>
        <w:tc>
          <w:tcPr>
            <w:tcW w:w="1843" w:type="dxa"/>
          </w:tcPr>
          <w:p w:rsidR="002D7430" w:rsidRPr="00380E6C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2.604.387,65</w:t>
            </w:r>
          </w:p>
        </w:tc>
        <w:tc>
          <w:tcPr>
            <w:tcW w:w="1842" w:type="dxa"/>
          </w:tcPr>
          <w:p w:rsidR="002D7430" w:rsidRPr="00380E6C" w:rsidRDefault="003D4EBA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72.681,99</w:t>
            </w:r>
          </w:p>
        </w:tc>
        <w:tc>
          <w:tcPr>
            <w:tcW w:w="1809" w:type="dxa"/>
          </w:tcPr>
          <w:p w:rsidR="002D7430" w:rsidRPr="00380E6C" w:rsidRDefault="002B4957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3D4EBA">
              <w:rPr>
                <w:sz w:val="22"/>
                <w:szCs w:val="22"/>
              </w:rPr>
              <w:instrText xml:space="preserve"> =SUM(left) </w:instrText>
            </w:r>
            <w:r>
              <w:rPr>
                <w:sz w:val="22"/>
                <w:szCs w:val="22"/>
              </w:rPr>
              <w:fldChar w:fldCharType="separate"/>
            </w:r>
            <w:r w:rsidR="003D4EBA">
              <w:rPr>
                <w:noProof/>
                <w:sz w:val="22"/>
                <w:szCs w:val="22"/>
              </w:rPr>
              <w:t>2.699.316,69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1644" w:rsidRPr="00380E6C" w:rsidTr="002D7430">
        <w:trPr>
          <w:jc w:val="center"/>
        </w:trPr>
        <w:tc>
          <w:tcPr>
            <w:cnfStyle w:val="001000000000"/>
            <w:tcW w:w="1701" w:type="dxa"/>
          </w:tcPr>
          <w:p w:rsidR="003D1644" w:rsidRPr="00380E6C" w:rsidRDefault="003D1644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04/2020</w:t>
            </w:r>
          </w:p>
        </w:tc>
        <w:tc>
          <w:tcPr>
            <w:tcW w:w="1843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25.059,28</w:t>
            </w:r>
          </w:p>
        </w:tc>
        <w:tc>
          <w:tcPr>
            <w:tcW w:w="1843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1.765.791,79</w:t>
            </w:r>
          </w:p>
        </w:tc>
        <w:tc>
          <w:tcPr>
            <w:tcW w:w="1842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49.278,88</w:t>
            </w:r>
          </w:p>
        </w:tc>
        <w:tc>
          <w:tcPr>
            <w:tcW w:w="1809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1.840.129,95</w:t>
            </w:r>
          </w:p>
        </w:tc>
      </w:tr>
      <w:tr w:rsidR="003D1644" w:rsidRPr="00380E6C" w:rsidTr="002D7430">
        <w:trPr>
          <w:cnfStyle w:val="000000100000"/>
          <w:jc w:val="center"/>
        </w:trPr>
        <w:tc>
          <w:tcPr>
            <w:cnfStyle w:val="001000000000"/>
            <w:tcW w:w="1701" w:type="dxa"/>
          </w:tcPr>
          <w:p w:rsidR="003D1644" w:rsidRPr="00380E6C" w:rsidRDefault="003D1644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05/2020</w:t>
            </w:r>
          </w:p>
        </w:tc>
        <w:tc>
          <w:tcPr>
            <w:tcW w:w="1843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17.427,39</w:t>
            </w:r>
          </w:p>
        </w:tc>
        <w:tc>
          <w:tcPr>
            <w:tcW w:w="1843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1.404.452,23</w:t>
            </w:r>
          </w:p>
        </w:tc>
        <w:tc>
          <w:tcPr>
            <w:tcW w:w="1842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39.194,74</w:t>
            </w:r>
          </w:p>
        </w:tc>
        <w:tc>
          <w:tcPr>
            <w:tcW w:w="1809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1.461.074,36</w:t>
            </w:r>
          </w:p>
        </w:tc>
      </w:tr>
      <w:tr w:rsidR="003D1644" w:rsidRPr="00380E6C" w:rsidTr="002D7430">
        <w:trPr>
          <w:jc w:val="center"/>
        </w:trPr>
        <w:tc>
          <w:tcPr>
            <w:cnfStyle w:val="001000000000"/>
            <w:tcW w:w="1701" w:type="dxa"/>
          </w:tcPr>
          <w:p w:rsidR="003D1644" w:rsidRPr="00380E6C" w:rsidRDefault="003D1644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06/2020</w:t>
            </w:r>
          </w:p>
        </w:tc>
        <w:tc>
          <w:tcPr>
            <w:tcW w:w="1843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24.683,56</w:t>
            </w:r>
          </w:p>
        </w:tc>
        <w:tc>
          <w:tcPr>
            <w:tcW w:w="1843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1.973.721,87</w:t>
            </w:r>
          </w:p>
        </w:tc>
        <w:tc>
          <w:tcPr>
            <w:tcW w:w="1842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55.081,61</w:t>
            </w:r>
          </w:p>
        </w:tc>
        <w:tc>
          <w:tcPr>
            <w:tcW w:w="1809" w:type="dxa"/>
          </w:tcPr>
          <w:p w:rsidR="003D1644" w:rsidRDefault="0093128F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2.053.487,04</w:t>
            </w:r>
          </w:p>
        </w:tc>
      </w:tr>
      <w:tr w:rsidR="00016A3D" w:rsidRPr="00380E6C" w:rsidTr="002D7430">
        <w:trPr>
          <w:cnfStyle w:val="000000100000"/>
          <w:jc w:val="center"/>
        </w:trPr>
        <w:tc>
          <w:tcPr>
            <w:cnfStyle w:val="001000000000"/>
            <w:tcW w:w="1701" w:type="dxa"/>
          </w:tcPr>
          <w:p w:rsidR="00016A3D" w:rsidRDefault="00016A3D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07/2020</w:t>
            </w:r>
          </w:p>
        </w:tc>
        <w:tc>
          <w:tcPr>
            <w:tcW w:w="1843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24.002,14</w:t>
            </w:r>
          </w:p>
        </w:tc>
        <w:tc>
          <w:tcPr>
            <w:tcW w:w="1843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2.839.444,09</w:t>
            </w:r>
          </w:p>
        </w:tc>
        <w:tc>
          <w:tcPr>
            <w:tcW w:w="1842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79.241,81</w:t>
            </w:r>
          </w:p>
        </w:tc>
        <w:tc>
          <w:tcPr>
            <w:tcW w:w="1809" w:type="dxa"/>
          </w:tcPr>
          <w:p w:rsidR="00016A3D" w:rsidRDefault="00056945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2.942.688,04</w:t>
            </w:r>
          </w:p>
        </w:tc>
      </w:tr>
      <w:tr w:rsidR="00016A3D" w:rsidRPr="00380E6C" w:rsidTr="002D7430">
        <w:trPr>
          <w:jc w:val="center"/>
        </w:trPr>
        <w:tc>
          <w:tcPr>
            <w:cnfStyle w:val="001000000000"/>
            <w:tcW w:w="1701" w:type="dxa"/>
          </w:tcPr>
          <w:p w:rsidR="00016A3D" w:rsidRDefault="00016A3D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08/2020</w:t>
            </w:r>
          </w:p>
        </w:tc>
        <w:tc>
          <w:tcPr>
            <w:tcW w:w="1843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25.035,57</w:t>
            </w:r>
          </w:p>
        </w:tc>
        <w:tc>
          <w:tcPr>
            <w:tcW w:w="1843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1.962.088,84</w:t>
            </w:r>
          </w:p>
        </w:tc>
        <w:tc>
          <w:tcPr>
            <w:tcW w:w="1842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54.757,02</w:t>
            </w:r>
          </w:p>
        </w:tc>
        <w:tc>
          <w:tcPr>
            <w:tcW w:w="1809" w:type="dxa"/>
          </w:tcPr>
          <w:p w:rsidR="00016A3D" w:rsidRDefault="00056945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2.041.881,43</w:t>
            </w:r>
          </w:p>
        </w:tc>
      </w:tr>
      <w:tr w:rsidR="00016A3D" w:rsidRPr="00380E6C" w:rsidTr="002D7430">
        <w:trPr>
          <w:cnfStyle w:val="000000100000"/>
          <w:jc w:val="center"/>
        </w:trPr>
        <w:tc>
          <w:tcPr>
            <w:cnfStyle w:val="001000000000"/>
            <w:tcW w:w="1701" w:type="dxa"/>
          </w:tcPr>
          <w:p w:rsidR="00016A3D" w:rsidRDefault="00016A3D" w:rsidP="003D4EBA">
            <w:pPr>
              <w:pStyle w:val="Uvuenotijeloteksta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09/2020</w:t>
            </w:r>
          </w:p>
        </w:tc>
        <w:tc>
          <w:tcPr>
            <w:tcW w:w="1843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24.118,52</w:t>
            </w:r>
          </w:p>
        </w:tc>
        <w:tc>
          <w:tcPr>
            <w:tcW w:w="1843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1.677.187,64</w:t>
            </w:r>
          </w:p>
        </w:tc>
        <w:tc>
          <w:tcPr>
            <w:tcW w:w="1842" w:type="dxa"/>
          </w:tcPr>
          <w:p w:rsidR="00016A3D" w:rsidRDefault="00016A3D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46.806,13</w:t>
            </w:r>
          </w:p>
        </w:tc>
        <w:tc>
          <w:tcPr>
            <w:tcW w:w="1809" w:type="dxa"/>
          </w:tcPr>
          <w:p w:rsidR="00016A3D" w:rsidRDefault="00056945" w:rsidP="00957836">
            <w:pPr>
              <w:pStyle w:val="Uvuenotijeloteksta"/>
              <w:spacing w:line="240" w:lineRule="auto"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1.748.112,29</w:t>
            </w:r>
          </w:p>
        </w:tc>
      </w:tr>
      <w:tr w:rsidR="002D7430" w:rsidRPr="0024493C" w:rsidTr="002D7430">
        <w:trPr>
          <w:jc w:val="center"/>
        </w:trPr>
        <w:tc>
          <w:tcPr>
            <w:cnfStyle w:val="001000000000"/>
            <w:tcW w:w="1701" w:type="dxa"/>
          </w:tcPr>
          <w:p w:rsidR="002D7430" w:rsidRPr="0024493C" w:rsidRDefault="002D7430" w:rsidP="00BC3649">
            <w:pPr>
              <w:pStyle w:val="Uvuenotijeloteksta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4493C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843" w:type="dxa"/>
          </w:tcPr>
          <w:p w:rsidR="002D7430" w:rsidRDefault="002B4957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 w:rsidR="00056945"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056945">
              <w:rPr>
                <w:b/>
                <w:noProof/>
                <w:sz w:val="22"/>
                <w:szCs w:val="22"/>
              </w:rPr>
              <w:t>212.303,34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2D7430" w:rsidRPr="0024493C" w:rsidRDefault="002B4957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 w:rsidR="00056945"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056945">
              <w:rPr>
                <w:b/>
                <w:noProof/>
                <w:sz w:val="22"/>
                <w:szCs w:val="22"/>
              </w:rPr>
              <w:t>18.988.512,46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:rsidR="002D7430" w:rsidRPr="0024493C" w:rsidRDefault="002B4957" w:rsidP="00957836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 w:rsidR="00056945"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056945">
              <w:rPr>
                <w:b/>
                <w:noProof/>
                <w:sz w:val="22"/>
                <w:szCs w:val="22"/>
              </w:rPr>
              <w:t>529.922</w:t>
            </w:r>
            <w:r>
              <w:rPr>
                <w:b/>
                <w:sz w:val="22"/>
                <w:szCs w:val="22"/>
              </w:rPr>
              <w:fldChar w:fldCharType="end"/>
            </w:r>
            <w:r w:rsidR="0005694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09" w:type="dxa"/>
          </w:tcPr>
          <w:p w:rsidR="002D7430" w:rsidRPr="0024493C" w:rsidRDefault="002B4957" w:rsidP="000B1043">
            <w:pPr>
              <w:pStyle w:val="Uvuenotijeloteksta"/>
              <w:spacing w:line="240" w:lineRule="auto"/>
              <w:ind w:firstLine="0"/>
              <w:jc w:val="right"/>
              <w:cnfStyle w:val="0000000000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 w:rsidR="00056945"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056945">
              <w:rPr>
                <w:b/>
                <w:noProof/>
                <w:sz w:val="22"/>
                <w:szCs w:val="22"/>
              </w:rPr>
              <w:t>19.730.737,8</w:t>
            </w:r>
            <w:r>
              <w:rPr>
                <w:b/>
                <w:sz w:val="22"/>
                <w:szCs w:val="22"/>
              </w:rPr>
              <w:fldChar w:fldCharType="end"/>
            </w:r>
            <w:r w:rsidR="00056945">
              <w:rPr>
                <w:b/>
                <w:sz w:val="22"/>
                <w:szCs w:val="22"/>
              </w:rPr>
              <w:t>0</w:t>
            </w:r>
          </w:p>
        </w:tc>
      </w:tr>
    </w:tbl>
    <w:p w:rsidR="00A64280" w:rsidRDefault="00A64280" w:rsidP="00A64280">
      <w:pPr>
        <w:pStyle w:val="Uvuenotijeloteksta"/>
        <w:spacing w:line="240" w:lineRule="auto"/>
        <w:ind w:firstLine="0"/>
      </w:pPr>
    </w:p>
    <w:p w:rsidR="00A64280" w:rsidRDefault="00A64280" w:rsidP="00A64280">
      <w:pPr>
        <w:pStyle w:val="Uvuenotijeloteksta"/>
        <w:spacing w:line="240" w:lineRule="auto"/>
        <w:ind w:firstLine="0"/>
      </w:pPr>
      <w:r w:rsidRPr="002E6D90">
        <w:t>Na donjem grafu je prikazano usporedno kretanje prihoda od neizravnih poreza koji pripadaju Županiji (bez Direkcije cesta) po mjesecima u 201</w:t>
      </w:r>
      <w:r w:rsidR="003D4EBA" w:rsidRPr="002E6D90">
        <w:t>9</w:t>
      </w:r>
      <w:r w:rsidRPr="002E6D90">
        <w:t>. i 20</w:t>
      </w:r>
      <w:r w:rsidR="003D4EBA" w:rsidRPr="002E6D90">
        <w:t>20</w:t>
      </w:r>
      <w:r w:rsidRPr="002E6D90">
        <w:t>. godini.</w:t>
      </w:r>
    </w:p>
    <w:p w:rsidR="00A64280" w:rsidRPr="00175533" w:rsidRDefault="00A64280" w:rsidP="00A64280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A64280" w:rsidRDefault="00A64280" w:rsidP="00A64280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drawing>
          <wp:inline distT="0" distB="0" distL="0" distR="0">
            <wp:extent cx="4410636" cy="1583764"/>
            <wp:effectExtent l="0" t="0" r="9525" b="1651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832B5" w:rsidRDefault="00A832B5" w:rsidP="00A832B5">
      <w:pPr>
        <w:jc w:val="center"/>
        <w:rPr>
          <w:sz w:val="20"/>
          <w:szCs w:val="20"/>
        </w:rPr>
      </w:pPr>
      <w:r w:rsidRPr="00F56197">
        <w:rPr>
          <w:sz w:val="20"/>
          <w:szCs w:val="20"/>
        </w:rPr>
        <w:t xml:space="preserve">Graf </w:t>
      </w:r>
      <w:r>
        <w:rPr>
          <w:sz w:val="20"/>
          <w:szCs w:val="20"/>
        </w:rPr>
        <w:t>4</w:t>
      </w:r>
      <w:r w:rsidRPr="00F56197">
        <w:rPr>
          <w:sz w:val="20"/>
          <w:szCs w:val="20"/>
        </w:rPr>
        <w:t>.</w:t>
      </w:r>
      <w:r>
        <w:rPr>
          <w:sz w:val="20"/>
          <w:szCs w:val="20"/>
        </w:rPr>
        <w:t xml:space="preserve"> Kretanje prihoda od neizravnih poreza koji pripadaju ŽP (bez cesta) po mjesecima u 201</w:t>
      </w:r>
      <w:r w:rsidR="003D4EBA">
        <w:rPr>
          <w:sz w:val="20"/>
          <w:szCs w:val="20"/>
        </w:rPr>
        <w:t>9</w:t>
      </w:r>
      <w:r>
        <w:rPr>
          <w:sz w:val="20"/>
          <w:szCs w:val="20"/>
        </w:rPr>
        <w:t>. i 20</w:t>
      </w:r>
      <w:r w:rsidR="003D4EBA">
        <w:rPr>
          <w:sz w:val="20"/>
          <w:szCs w:val="20"/>
        </w:rPr>
        <w:t>20</w:t>
      </w:r>
      <w:r>
        <w:rPr>
          <w:sz w:val="20"/>
          <w:szCs w:val="20"/>
        </w:rPr>
        <w:t>. g.</w:t>
      </w:r>
    </w:p>
    <w:p w:rsidR="00A64043" w:rsidRPr="008372F7" w:rsidRDefault="00A64043" w:rsidP="009554E4">
      <w:pPr>
        <w:pStyle w:val="Uvuenotijeloteksta"/>
        <w:spacing w:line="240" w:lineRule="auto"/>
        <w:ind w:firstLine="0"/>
        <w:rPr>
          <w:color w:val="FF0000"/>
        </w:rPr>
      </w:pPr>
    </w:p>
    <w:p w:rsidR="009554E4" w:rsidRDefault="009554E4" w:rsidP="009554E4">
      <w:pPr>
        <w:pStyle w:val="Uvuenotijeloteksta"/>
        <w:spacing w:line="240" w:lineRule="auto"/>
        <w:ind w:firstLine="0"/>
      </w:pPr>
      <w:r>
        <w:t xml:space="preserve">Prihodi po osnovi ostalih poreza (potkategorija 719000) ostvareni su u iznosu od </w:t>
      </w:r>
      <w:r w:rsidR="002E6D90">
        <w:t>43</w:t>
      </w:r>
      <w:r w:rsidR="007E1F08">
        <w:t xml:space="preserve"> </w:t>
      </w:r>
      <w:r>
        <w:t xml:space="preserve">KM, </w:t>
      </w:r>
      <w:r w:rsidR="00D4474C">
        <w:t xml:space="preserve">što je </w:t>
      </w:r>
      <w:r w:rsidR="002E6D90">
        <w:t>47,78</w:t>
      </w:r>
      <w:r w:rsidR="00D4474C">
        <w:t>%</w:t>
      </w:r>
      <w:r w:rsidR="00127DB8">
        <w:t xml:space="preserve"> </w:t>
      </w:r>
      <w:r>
        <w:t>ukupno planiran</w:t>
      </w:r>
      <w:r w:rsidR="007E1F08">
        <w:t>ih prihoda po ovoj osnovi</w:t>
      </w:r>
      <w:r>
        <w:t xml:space="preserve"> u 20</w:t>
      </w:r>
      <w:r w:rsidR="00FE47C1">
        <w:t>20</w:t>
      </w:r>
      <w:r>
        <w:t>. godini.</w:t>
      </w:r>
      <w:r w:rsidR="00504466">
        <w:t xml:space="preserve"> </w:t>
      </w:r>
    </w:p>
    <w:p w:rsidR="009554E4" w:rsidRDefault="009554E4" w:rsidP="009554E4">
      <w:pPr>
        <w:pStyle w:val="Uvuenotijeloteksta"/>
        <w:spacing w:line="240" w:lineRule="auto"/>
        <w:ind w:firstLine="0"/>
        <w:jc w:val="left"/>
        <w:rPr>
          <w:b/>
          <w:bCs/>
          <w:i/>
        </w:rPr>
      </w:pPr>
    </w:p>
    <w:p w:rsidR="00283491" w:rsidRDefault="00283491" w:rsidP="009554E4">
      <w:pPr>
        <w:pStyle w:val="Uvuenotijeloteksta"/>
        <w:spacing w:line="240" w:lineRule="auto"/>
        <w:ind w:firstLine="0"/>
        <w:jc w:val="left"/>
        <w:rPr>
          <w:b/>
          <w:bCs/>
          <w:i/>
        </w:rPr>
      </w:pPr>
    </w:p>
    <w:p w:rsidR="009554E4" w:rsidRPr="00DC6563" w:rsidRDefault="00AD16F2" w:rsidP="009554E4">
      <w:pPr>
        <w:pStyle w:val="Uvuenotijeloteksta"/>
        <w:spacing w:line="240" w:lineRule="auto"/>
        <w:ind w:firstLine="0"/>
        <w:jc w:val="left"/>
        <w:rPr>
          <w:b/>
          <w:bCs/>
          <w:i/>
        </w:rPr>
      </w:pPr>
      <w:r w:rsidRPr="00327E54">
        <w:rPr>
          <w:b/>
          <w:bCs/>
          <w:i/>
        </w:rPr>
        <w:t>1</w:t>
      </w:r>
      <w:r w:rsidR="009554E4" w:rsidRPr="00327E54">
        <w:rPr>
          <w:b/>
          <w:bCs/>
          <w:i/>
        </w:rPr>
        <w:t xml:space="preserve">.2 </w:t>
      </w:r>
      <w:r w:rsidR="009554E4" w:rsidRPr="00327E54">
        <w:rPr>
          <w:b/>
          <w:bCs/>
          <w:i/>
        </w:rPr>
        <w:tab/>
        <w:t>NEPOREZNI PRIHODI</w:t>
      </w:r>
    </w:p>
    <w:p w:rsidR="009554E4" w:rsidRDefault="009554E4" w:rsidP="009554E4">
      <w:pPr>
        <w:pStyle w:val="Uvuenotijeloteksta"/>
        <w:spacing w:line="240" w:lineRule="auto"/>
        <w:jc w:val="left"/>
        <w:rPr>
          <w:b/>
          <w:bCs/>
        </w:rPr>
      </w:pPr>
    </w:p>
    <w:p w:rsidR="009554E4" w:rsidRDefault="009554E4" w:rsidP="009554E4">
      <w:pPr>
        <w:pStyle w:val="Uvuenotijeloteksta"/>
        <w:spacing w:line="240" w:lineRule="auto"/>
        <w:ind w:firstLine="0"/>
      </w:pPr>
      <w:r>
        <w:t xml:space="preserve">Neporezni prihodi (kategorija 720000) ostvareni su u visini od </w:t>
      </w:r>
      <w:r w:rsidR="007D6BB7">
        <w:t>1.</w:t>
      </w:r>
      <w:r w:rsidR="00327E54">
        <w:t>957</w:t>
      </w:r>
      <w:r w:rsidR="007D6BB7">
        <w:t>.</w:t>
      </w:r>
      <w:r w:rsidR="00327E54">
        <w:t>627</w:t>
      </w:r>
      <w:r>
        <w:t xml:space="preserve"> KM, odnosno </w:t>
      </w:r>
      <w:r w:rsidR="00327E54">
        <w:t>74,09</w:t>
      </w:r>
      <w:r>
        <w:t>% u odnosu na planirane neporezne prihode u 20</w:t>
      </w:r>
      <w:r w:rsidR="00C27F17">
        <w:t>20</w:t>
      </w:r>
      <w:r>
        <w:t xml:space="preserve">. godini. </w:t>
      </w:r>
      <w:r w:rsidR="00B909B8">
        <w:t xml:space="preserve">U odnosu na plan razdoblja ostvarenje neporeznih prihoda je </w:t>
      </w:r>
      <w:r w:rsidR="00C27F17">
        <w:t>manje</w:t>
      </w:r>
      <w:r w:rsidR="00B909B8">
        <w:t xml:space="preserve"> za </w:t>
      </w:r>
      <w:r w:rsidR="00327E54">
        <w:t>1,21</w:t>
      </w:r>
      <w:r w:rsidR="00B909B8">
        <w:t xml:space="preserve">%, odnosno </w:t>
      </w:r>
      <w:r w:rsidR="00C27F17">
        <w:t>manje</w:t>
      </w:r>
      <w:r w:rsidR="00B909B8">
        <w:t xml:space="preserve"> za </w:t>
      </w:r>
      <w:r w:rsidR="00327E54">
        <w:t>24.038</w:t>
      </w:r>
      <w:r w:rsidR="00B909B8">
        <w:t xml:space="preserve"> KM. </w:t>
      </w:r>
      <w:r>
        <w:t>U odnosu na ostvarenje u razdoblju siječanj-</w:t>
      </w:r>
      <w:r w:rsidR="00327E54">
        <w:t>rujan</w:t>
      </w:r>
      <w:r>
        <w:t xml:space="preserve"> fiskalne 201</w:t>
      </w:r>
      <w:r w:rsidR="00C27F17">
        <w:t>9</w:t>
      </w:r>
      <w:r>
        <w:t xml:space="preserve">. godine ovi prihodi su </w:t>
      </w:r>
      <w:r w:rsidR="00C27F17">
        <w:t>također manji</w:t>
      </w:r>
      <w:r w:rsidR="00796904">
        <w:t xml:space="preserve"> za </w:t>
      </w:r>
      <w:r w:rsidR="00327E54">
        <w:t>3,78</w:t>
      </w:r>
      <w:r>
        <w:t>%</w:t>
      </w:r>
      <w:r w:rsidR="000B1043">
        <w:t>,</w:t>
      </w:r>
      <w:r>
        <w:t xml:space="preserve"> </w:t>
      </w:r>
      <w:r w:rsidR="00796904">
        <w:t>ili</w:t>
      </w:r>
      <w:r>
        <w:t xml:space="preserve"> u apsolutnom iznosu </w:t>
      </w:r>
      <w:r w:rsidR="00C27F17">
        <w:t>manji</w:t>
      </w:r>
      <w:r w:rsidR="00320F32">
        <w:t xml:space="preserve"> za </w:t>
      </w:r>
      <w:r w:rsidR="00327E54">
        <w:t>76.878</w:t>
      </w:r>
      <w:r w:rsidR="007E1F08">
        <w:t xml:space="preserve"> </w:t>
      </w:r>
      <w:r>
        <w:t>KM.</w:t>
      </w:r>
      <w:r w:rsidR="007E1F08">
        <w:t xml:space="preserve"> </w:t>
      </w:r>
      <w:r>
        <w:t xml:space="preserve">Učešće pojedinih kategorija neporeznih prihoda u ukupno ostvarenim neporeznim prihodima prikazano je u Tablici </w:t>
      </w:r>
      <w:r w:rsidR="00A832B5">
        <w:t>4</w:t>
      </w:r>
      <w:r>
        <w:t xml:space="preserve">. i na Grafu </w:t>
      </w:r>
      <w:r w:rsidR="00A832B5">
        <w:t>5</w:t>
      </w:r>
      <w:r>
        <w:t>.</w:t>
      </w:r>
    </w:p>
    <w:p w:rsidR="000B1043" w:rsidRDefault="000B1043" w:rsidP="009554E4">
      <w:pPr>
        <w:jc w:val="both"/>
        <w:rPr>
          <w:sz w:val="20"/>
          <w:szCs w:val="20"/>
        </w:rPr>
      </w:pPr>
    </w:p>
    <w:p w:rsidR="00283491" w:rsidRDefault="00283491" w:rsidP="009554E4">
      <w:pPr>
        <w:jc w:val="both"/>
        <w:rPr>
          <w:sz w:val="20"/>
          <w:szCs w:val="20"/>
        </w:rPr>
      </w:pPr>
    </w:p>
    <w:p w:rsidR="00283491" w:rsidRDefault="00283491" w:rsidP="009554E4">
      <w:pPr>
        <w:jc w:val="both"/>
        <w:rPr>
          <w:sz w:val="20"/>
          <w:szCs w:val="20"/>
        </w:rPr>
      </w:pPr>
    </w:p>
    <w:p w:rsidR="00283491" w:rsidRDefault="00283491" w:rsidP="009554E4">
      <w:pPr>
        <w:jc w:val="both"/>
        <w:rPr>
          <w:sz w:val="20"/>
          <w:szCs w:val="20"/>
        </w:rPr>
      </w:pPr>
    </w:p>
    <w:p w:rsidR="00283491" w:rsidRDefault="00283491" w:rsidP="009554E4">
      <w:pPr>
        <w:jc w:val="both"/>
        <w:rPr>
          <w:sz w:val="20"/>
          <w:szCs w:val="20"/>
        </w:rPr>
      </w:pPr>
    </w:p>
    <w:p w:rsidR="009554E4" w:rsidRPr="00FD3224" w:rsidRDefault="009554E4" w:rsidP="009554E4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lastRenderedPageBreak/>
        <w:t xml:space="preserve">Tablica </w:t>
      </w:r>
      <w:r w:rsidR="00A832B5">
        <w:rPr>
          <w:sz w:val="20"/>
          <w:szCs w:val="20"/>
        </w:rPr>
        <w:t>4</w:t>
      </w:r>
      <w:r w:rsidRPr="00FD3224">
        <w:rPr>
          <w:sz w:val="20"/>
          <w:szCs w:val="20"/>
        </w:rPr>
        <w:t xml:space="preserve">. Struktura ostvarenih </w:t>
      </w:r>
      <w:r>
        <w:rPr>
          <w:sz w:val="20"/>
          <w:szCs w:val="20"/>
        </w:rPr>
        <w:t xml:space="preserve">neporeznih </w:t>
      </w:r>
      <w:r w:rsidRPr="00FD3224">
        <w:rPr>
          <w:sz w:val="20"/>
          <w:szCs w:val="20"/>
        </w:rPr>
        <w:t xml:space="preserve">prihoda Proračuna </w:t>
      </w:r>
      <w:proofErr w:type="spellStart"/>
      <w:r w:rsidRPr="00FD3224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FD3224">
        <w:rPr>
          <w:sz w:val="20"/>
          <w:szCs w:val="20"/>
        </w:rPr>
        <w:t>Posavske</w:t>
      </w:r>
      <w:proofErr w:type="spellEnd"/>
      <w:r w:rsidRPr="00FD3224">
        <w:rPr>
          <w:sz w:val="20"/>
          <w:szCs w:val="20"/>
        </w:rPr>
        <w:t xml:space="preserve"> u razdoblju 01.0</w:t>
      </w:r>
      <w:r w:rsidR="00796904">
        <w:rPr>
          <w:sz w:val="20"/>
          <w:szCs w:val="20"/>
        </w:rPr>
        <w:t>1.-</w:t>
      </w:r>
      <w:r w:rsidR="007D6BB7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327E54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253805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5637"/>
        <w:gridCol w:w="2409"/>
        <w:gridCol w:w="1242"/>
      </w:tblGrid>
      <w:tr w:rsidR="009554E4" w:rsidRPr="00A15A60" w:rsidTr="00A36A0D">
        <w:trPr>
          <w:cnfStyle w:val="100000000000"/>
        </w:trPr>
        <w:tc>
          <w:tcPr>
            <w:cnfStyle w:val="001000000100"/>
            <w:tcW w:w="5637" w:type="dxa"/>
            <w:vAlign w:val="center"/>
          </w:tcPr>
          <w:p w:rsidR="009554E4" w:rsidRPr="00A15A60" w:rsidRDefault="009554E4" w:rsidP="00612567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2409" w:type="dxa"/>
          </w:tcPr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A36A0D" w:rsidRDefault="009554E4" w:rsidP="00A36A0D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7D6BB7">
              <w:rPr>
                <w:b/>
                <w:sz w:val="22"/>
              </w:rPr>
              <w:t>30</w:t>
            </w:r>
            <w:r w:rsidRPr="00A15A60">
              <w:rPr>
                <w:b/>
                <w:sz w:val="22"/>
              </w:rPr>
              <w:t>.0</w:t>
            </w:r>
            <w:r w:rsidR="00327E54">
              <w:rPr>
                <w:b/>
                <w:sz w:val="22"/>
              </w:rPr>
              <w:t>9</w:t>
            </w:r>
            <w:r w:rsidRPr="00A15A60">
              <w:rPr>
                <w:b/>
                <w:sz w:val="22"/>
              </w:rPr>
              <w:t>.20</w:t>
            </w:r>
            <w:r w:rsidR="00253805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 xml:space="preserve">.g. </w:t>
            </w:r>
          </w:p>
          <w:p w:rsidR="009554E4" w:rsidRPr="00A15A60" w:rsidRDefault="009554E4" w:rsidP="00A36A0D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(u KM)</w:t>
            </w:r>
          </w:p>
        </w:tc>
        <w:tc>
          <w:tcPr>
            <w:tcW w:w="1242" w:type="dxa"/>
            <w:vAlign w:val="center"/>
          </w:tcPr>
          <w:p w:rsidR="009554E4" w:rsidRPr="00A15A60" w:rsidRDefault="009554E4" w:rsidP="00A36A0D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%</w:t>
            </w:r>
          </w:p>
          <w:p w:rsidR="009554E4" w:rsidRPr="00A15A60" w:rsidRDefault="009554E4" w:rsidP="00A36A0D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5637" w:type="dxa"/>
          </w:tcPr>
          <w:p w:rsidR="009554E4" w:rsidRPr="00A15A60" w:rsidRDefault="009554E4" w:rsidP="00283491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Prihodi od pod</w:t>
            </w:r>
            <w:r w:rsidR="00283491">
              <w:rPr>
                <w:sz w:val="22"/>
              </w:rPr>
              <w:t>.</w:t>
            </w:r>
            <w:r w:rsidRPr="00A15A60">
              <w:rPr>
                <w:sz w:val="22"/>
              </w:rPr>
              <w:t>aktivn</w:t>
            </w:r>
            <w:r w:rsidR="00283491">
              <w:rPr>
                <w:sz w:val="22"/>
              </w:rPr>
              <w:t>.</w:t>
            </w:r>
            <w:r w:rsidRPr="00A15A60">
              <w:rPr>
                <w:sz w:val="22"/>
              </w:rPr>
              <w:t>i imovine i prihodi od pozit</w:t>
            </w:r>
            <w:r w:rsidR="00283491">
              <w:rPr>
                <w:sz w:val="22"/>
              </w:rPr>
              <w:t>.</w:t>
            </w:r>
            <w:r w:rsidRPr="00A15A60">
              <w:rPr>
                <w:sz w:val="22"/>
              </w:rPr>
              <w:t>teč</w:t>
            </w:r>
            <w:r w:rsidR="00283491">
              <w:rPr>
                <w:sz w:val="22"/>
              </w:rPr>
              <w:t>.</w:t>
            </w:r>
            <w:r w:rsidRPr="00A15A60">
              <w:rPr>
                <w:sz w:val="22"/>
              </w:rPr>
              <w:t>razlika</w:t>
            </w:r>
          </w:p>
        </w:tc>
        <w:tc>
          <w:tcPr>
            <w:tcW w:w="2409" w:type="dxa"/>
            <w:vAlign w:val="center"/>
          </w:tcPr>
          <w:p w:rsidR="009554E4" w:rsidRPr="00A15A60" w:rsidRDefault="00327E54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52.588</w:t>
            </w:r>
          </w:p>
        </w:tc>
        <w:tc>
          <w:tcPr>
            <w:tcW w:w="1242" w:type="dxa"/>
            <w:vAlign w:val="center"/>
          </w:tcPr>
          <w:p w:rsidR="009554E4" w:rsidRPr="00A15A60" w:rsidRDefault="00327E54" w:rsidP="000A13AF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2,69</w:t>
            </w:r>
          </w:p>
        </w:tc>
      </w:tr>
      <w:tr w:rsidR="009554E4" w:rsidRPr="00A15A60" w:rsidTr="00612567">
        <w:tc>
          <w:tcPr>
            <w:cnfStyle w:val="001000000000"/>
            <w:tcW w:w="5637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Naknade i pristojbe i prihodi od pružanja javnih usluga</w:t>
            </w:r>
          </w:p>
        </w:tc>
        <w:tc>
          <w:tcPr>
            <w:tcW w:w="2409" w:type="dxa"/>
            <w:vAlign w:val="center"/>
          </w:tcPr>
          <w:p w:rsidR="009554E4" w:rsidRPr="00A15A60" w:rsidRDefault="00327E54" w:rsidP="0061256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1.521.919</w:t>
            </w:r>
          </w:p>
        </w:tc>
        <w:tc>
          <w:tcPr>
            <w:tcW w:w="1242" w:type="dxa"/>
            <w:vAlign w:val="center"/>
          </w:tcPr>
          <w:p w:rsidR="009554E4" w:rsidRPr="00A15A60" w:rsidRDefault="00327E54" w:rsidP="00612567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77,74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5637" w:type="dxa"/>
          </w:tcPr>
          <w:p w:rsidR="009554E4" w:rsidRPr="00A15A60" w:rsidRDefault="009554E4" w:rsidP="00612567">
            <w:pPr>
              <w:jc w:val="both"/>
              <w:rPr>
                <w:sz w:val="22"/>
              </w:rPr>
            </w:pPr>
            <w:r w:rsidRPr="00A15A60">
              <w:rPr>
                <w:sz w:val="22"/>
              </w:rPr>
              <w:t>Novčane kazne</w:t>
            </w:r>
          </w:p>
        </w:tc>
        <w:tc>
          <w:tcPr>
            <w:tcW w:w="2409" w:type="dxa"/>
            <w:vAlign w:val="center"/>
          </w:tcPr>
          <w:p w:rsidR="009554E4" w:rsidRPr="00A15A60" w:rsidRDefault="00327E54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383.120</w:t>
            </w:r>
          </w:p>
        </w:tc>
        <w:tc>
          <w:tcPr>
            <w:tcW w:w="1242" w:type="dxa"/>
            <w:vAlign w:val="center"/>
          </w:tcPr>
          <w:p w:rsidR="009554E4" w:rsidRPr="00A15A60" w:rsidRDefault="00327E54" w:rsidP="0061256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19,57</w:t>
            </w:r>
          </w:p>
        </w:tc>
      </w:tr>
      <w:tr w:rsidR="009554E4" w:rsidRPr="00A15A60" w:rsidTr="00612567">
        <w:tc>
          <w:tcPr>
            <w:cnfStyle w:val="001000000000"/>
            <w:tcW w:w="5637" w:type="dxa"/>
          </w:tcPr>
          <w:p w:rsidR="009554E4" w:rsidRPr="00A15A60" w:rsidRDefault="009554E4" w:rsidP="00612567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2409" w:type="dxa"/>
            <w:vAlign w:val="center"/>
          </w:tcPr>
          <w:p w:rsidR="003B5D0E" w:rsidRPr="00A15A60" w:rsidRDefault="002B4957" w:rsidP="00796904">
            <w:pPr>
              <w:ind w:right="74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327E54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327E54">
              <w:rPr>
                <w:b/>
                <w:noProof/>
                <w:sz w:val="22"/>
              </w:rPr>
              <w:t>1.957.627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9554E4" w:rsidRPr="00A15A60" w:rsidRDefault="002B4957" w:rsidP="00612567">
            <w:pPr>
              <w:ind w:right="28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327E54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327E54"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 w:rsidR="00327E54">
              <w:rPr>
                <w:b/>
                <w:sz w:val="22"/>
              </w:rPr>
              <w:t>,00</w:t>
            </w:r>
          </w:p>
        </w:tc>
      </w:tr>
    </w:tbl>
    <w:p w:rsidR="009554E4" w:rsidRDefault="009554E4" w:rsidP="009554E4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drawing>
          <wp:inline distT="0" distB="0" distL="0" distR="0">
            <wp:extent cx="4315460" cy="1921933"/>
            <wp:effectExtent l="19050" t="0" r="88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554E4" w:rsidRDefault="009554E4" w:rsidP="009554E4">
      <w:pPr>
        <w:jc w:val="center"/>
        <w:rPr>
          <w:sz w:val="20"/>
          <w:szCs w:val="20"/>
        </w:rPr>
      </w:pPr>
      <w:r w:rsidRPr="00F56197">
        <w:rPr>
          <w:sz w:val="20"/>
          <w:szCs w:val="20"/>
        </w:rPr>
        <w:t xml:space="preserve">Graf </w:t>
      </w:r>
      <w:r w:rsidR="00A832B5">
        <w:rPr>
          <w:sz w:val="20"/>
          <w:szCs w:val="20"/>
        </w:rPr>
        <w:t>5</w:t>
      </w:r>
      <w:r w:rsidRPr="00F56197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Struktura ostvarenih neporeznih prihoda </w:t>
      </w:r>
      <w:r w:rsidRPr="00F56197">
        <w:rPr>
          <w:sz w:val="20"/>
          <w:szCs w:val="20"/>
        </w:rPr>
        <w:t>Proračuna Županije Posavske u razdoblju 01.01.-</w:t>
      </w:r>
      <w:r w:rsidR="007D6BB7">
        <w:rPr>
          <w:sz w:val="20"/>
          <w:szCs w:val="20"/>
        </w:rPr>
        <w:t>30</w:t>
      </w:r>
      <w:r w:rsidRPr="00F56197">
        <w:rPr>
          <w:sz w:val="20"/>
          <w:szCs w:val="20"/>
        </w:rPr>
        <w:t>.0</w:t>
      </w:r>
      <w:r w:rsidR="00327E54">
        <w:rPr>
          <w:sz w:val="20"/>
          <w:szCs w:val="20"/>
        </w:rPr>
        <w:t>9</w:t>
      </w:r>
      <w:r w:rsidRPr="00F56197">
        <w:rPr>
          <w:sz w:val="20"/>
          <w:szCs w:val="20"/>
        </w:rPr>
        <w:t>.20</w:t>
      </w:r>
      <w:r w:rsidR="00253805">
        <w:rPr>
          <w:sz w:val="20"/>
          <w:szCs w:val="20"/>
        </w:rPr>
        <w:t>20</w:t>
      </w:r>
      <w:r w:rsidRPr="00F56197">
        <w:rPr>
          <w:sz w:val="20"/>
          <w:szCs w:val="20"/>
        </w:rPr>
        <w:t>.</w:t>
      </w:r>
      <w:r w:rsidRPr="00FD3224">
        <w:rPr>
          <w:sz w:val="20"/>
          <w:szCs w:val="20"/>
        </w:rPr>
        <w:t xml:space="preserve"> g</w:t>
      </w:r>
      <w:r>
        <w:rPr>
          <w:sz w:val="20"/>
          <w:szCs w:val="20"/>
        </w:rPr>
        <w:t>.</w:t>
      </w:r>
    </w:p>
    <w:p w:rsidR="00BA16A3" w:rsidRPr="007950E3" w:rsidRDefault="00BA16A3" w:rsidP="009554E4">
      <w:pPr>
        <w:pStyle w:val="Uvuenotijeloteksta"/>
        <w:spacing w:line="240" w:lineRule="auto"/>
        <w:ind w:firstLine="0"/>
        <w:jc w:val="center"/>
        <w:rPr>
          <w:sz w:val="16"/>
          <w:szCs w:val="16"/>
        </w:rPr>
      </w:pPr>
    </w:p>
    <w:p w:rsidR="00CA3D4A" w:rsidRDefault="00A36A0D" w:rsidP="009554E4">
      <w:pPr>
        <w:pStyle w:val="Uvuenotijeloteksta"/>
        <w:spacing w:line="240" w:lineRule="auto"/>
        <w:ind w:firstLine="0"/>
      </w:pPr>
      <w:r w:rsidRPr="000A683A">
        <w:rPr>
          <w:b/>
        </w:rPr>
        <w:t>Prihodi od poduzetničkih</w:t>
      </w:r>
      <w:r w:rsidR="009554E4" w:rsidRPr="000A683A">
        <w:rPr>
          <w:b/>
        </w:rPr>
        <w:t xml:space="preserve"> aktivnosti i imovine i prihodi od pozitivnih tečajnih razlika (potkategorija 721000)</w:t>
      </w:r>
      <w:r w:rsidR="009554E4" w:rsidRPr="00EF2D70">
        <w:t xml:space="preserve"> ostvareni su u visini od </w:t>
      </w:r>
      <w:r w:rsidR="00327E54">
        <w:t>52.588</w:t>
      </w:r>
      <w:r w:rsidR="009554E4" w:rsidRPr="00EF2D70">
        <w:t xml:space="preserve"> KM</w:t>
      </w:r>
      <w:r w:rsidR="008B3A9C">
        <w:t>,</w:t>
      </w:r>
      <w:r w:rsidR="009554E4" w:rsidRPr="00EF2D70">
        <w:t xml:space="preserve"> </w:t>
      </w:r>
      <w:r w:rsidR="00CA3D4A">
        <w:t xml:space="preserve">što </w:t>
      </w:r>
      <w:r w:rsidR="00457ADF">
        <w:t>iznosi</w:t>
      </w:r>
      <w:r w:rsidR="000A13AF">
        <w:t xml:space="preserve"> </w:t>
      </w:r>
      <w:r w:rsidR="00327E54">
        <w:t>45,47</w:t>
      </w:r>
      <w:r w:rsidR="00457ADF">
        <w:t xml:space="preserve">% </w:t>
      </w:r>
      <w:r w:rsidR="00CA3D4A">
        <w:t>ukupno planirani</w:t>
      </w:r>
      <w:r w:rsidR="00457ADF">
        <w:t>h</w:t>
      </w:r>
      <w:r w:rsidR="00CA3D4A">
        <w:t xml:space="preserve"> prihoda po ovoj osnovi u 20</w:t>
      </w:r>
      <w:r w:rsidR="00253805">
        <w:t>20</w:t>
      </w:r>
      <w:r w:rsidR="00CA3D4A">
        <w:t>. godini</w:t>
      </w:r>
      <w:r w:rsidR="009554E4" w:rsidRPr="00EF2D70">
        <w:t>.</w:t>
      </w:r>
      <w:r w:rsidR="00CA3D4A">
        <w:t xml:space="preserve"> </w:t>
      </w:r>
      <w:r w:rsidR="006D662A">
        <w:t>U odnosu na ostvarenje u razdoblju siječanj-</w:t>
      </w:r>
      <w:r w:rsidR="00327E54">
        <w:t>rujan</w:t>
      </w:r>
      <w:r w:rsidR="006D662A">
        <w:t xml:space="preserve"> fiskalne 201</w:t>
      </w:r>
      <w:r w:rsidR="00253805">
        <w:t>9</w:t>
      </w:r>
      <w:r w:rsidR="006D662A">
        <w:t xml:space="preserve">. godine ovi prihodi su u apsolutnom iznosu </w:t>
      </w:r>
      <w:r w:rsidR="00327E54">
        <w:t>veći</w:t>
      </w:r>
      <w:r w:rsidR="006D662A">
        <w:t xml:space="preserve"> za </w:t>
      </w:r>
      <w:r w:rsidR="00327E54">
        <w:t>20.782</w:t>
      </w:r>
      <w:r w:rsidR="006D662A">
        <w:t xml:space="preserve"> KM</w:t>
      </w:r>
      <w:r w:rsidR="00A52BB2">
        <w:t>, a r</w:t>
      </w:r>
      <w:r w:rsidR="004D0C5E">
        <w:t xml:space="preserve">azlika </w:t>
      </w:r>
      <w:r w:rsidR="00603D2E">
        <w:t xml:space="preserve">se </w:t>
      </w:r>
      <w:r w:rsidR="0071340E">
        <w:t xml:space="preserve">u najvećoj mjeri uočava </w:t>
      </w:r>
      <w:r w:rsidR="007547EC">
        <w:t>na</w:t>
      </w:r>
      <w:r w:rsidR="00603D2E">
        <w:t xml:space="preserve"> </w:t>
      </w:r>
      <w:r w:rsidR="00CA3D4A">
        <w:t>realiziran</w:t>
      </w:r>
      <w:r w:rsidR="0071340E">
        <w:t>im</w:t>
      </w:r>
      <w:r w:rsidR="00CA3D4A">
        <w:t xml:space="preserve"> prihod</w:t>
      </w:r>
      <w:r w:rsidR="0071340E">
        <w:t>ima</w:t>
      </w:r>
      <w:r w:rsidR="00CA3D4A">
        <w:t xml:space="preserve"> </w:t>
      </w:r>
      <w:r w:rsidR="006B559A">
        <w:t xml:space="preserve">Ministarstva poljoprivrede, vodoprivrede i šumarstva </w:t>
      </w:r>
      <w:r w:rsidR="00CA3D4A">
        <w:t xml:space="preserve">od </w:t>
      </w:r>
      <w:r w:rsidR="007547EC">
        <w:t xml:space="preserve">iznajmljivanja zemljišta </w:t>
      </w:r>
      <w:r w:rsidR="00253805">
        <w:t>+</w:t>
      </w:r>
      <w:r w:rsidR="00327E54">
        <w:t>21.263</w:t>
      </w:r>
      <w:r w:rsidR="006B559A">
        <w:t xml:space="preserve"> KM</w:t>
      </w:r>
      <w:r w:rsidR="0071340E">
        <w:t xml:space="preserve"> u tekućoj u odnosu na prethodnu godinu</w:t>
      </w:r>
      <w:r w:rsidR="006B559A">
        <w:t>. Ostali prihodi iz ove skupine (prihodi od davanja prava na eksploataciju prirodnih resursa, prihodi od kamate za depozite u banci i prihodi od pozitivnih tečajnih razlika) su u odnosu na isto razdoblje 201</w:t>
      </w:r>
      <w:r w:rsidR="00253805">
        <w:t>9</w:t>
      </w:r>
      <w:r w:rsidR="006B559A">
        <w:t xml:space="preserve">. godine </w:t>
      </w:r>
      <w:r w:rsidR="0071340E">
        <w:t>ostali u sličnim okvirima</w:t>
      </w:r>
      <w:r w:rsidR="00E25458">
        <w:t xml:space="preserve"> (obzirom na njihovo učešće u ukupnim prihodima po ovoj osnovi relativno zanemarive veličine).</w:t>
      </w:r>
      <w:r w:rsidR="007547EC">
        <w:t xml:space="preserve"> </w:t>
      </w:r>
    </w:p>
    <w:p w:rsidR="00BA16A3" w:rsidRPr="007950E3" w:rsidRDefault="00BA16A3" w:rsidP="009554E4">
      <w:pPr>
        <w:pStyle w:val="Uvuenotijeloteksta"/>
        <w:spacing w:line="240" w:lineRule="auto"/>
        <w:rPr>
          <w:sz w:val="16"/>
          <w:szCs w:val="16"/>
        </w:rPr>
      </w:pPr>
    </w:p>
    <w:p w:rsidR="00957836" w:rsidRDefault="009554E4" w:rsidP="009554E4">
      <w:pPr>
        <w:pStyle w:val="Uvuenotijeloteksta"/>
        <w:spacing w:line="240" w:lineRule="auto"/>
        <w:ind w:firstLine="0"/>
      </w:pPr>
      <w:r w:rsidRPr="000A683A">
        <w:rPr>
          <w:b/>
        </w:rPr>
        <w:t>Prihodi po osnovi naknada i pristojbi i prihodi od pružanja javnih usluga (potkategorija 722000)</w:t>
      </w:r>
      <w:r>
        <w:t xml:space="preserve"> ostvareni su u visini od </w:t>
      </w:r>
      <w:r w:rsidR="00E25458">
        <w:t>1.521.919</w:t>
      </w:r>
      <w:r>
        <w:t xml:space="preserve"> KM, odnosno </w:t>
      </w:r>
      <w:r w:rsidR="00E25458">
        <w:t>73,91</w:t>
      </w:r>
      <w:r>
        <w:t>% ukupno planiranih prihoda po ovoj namjeni. U odnosu na isto razdoblje fiskalne 201</w:t>
      </w:r>
      <w:r w:rsidR="00253805">
        <w:t>9</w:t>
      </w:r>
      <w:r>
        <w:t xml:space="preserve">.godine, prihodi po osnovi naknada i pristojbi i prihodi od pružanja javnih usluga </w:t>
      </w:r>
      <w:r w:rsidR="0071340E">
        <w:t xml:space="preserve">manji </w:t>
      </w:r>
      <w:r w:rsidR="006C23C9">
        <w:t xml:space="preserve">su za </w:t>
      </w:r>
      <w:r w:rsidR="00E25458">
        <w:t>1,38</w:t>
      </w:r>
      <w:r w:rsidR="006C23C9">
        <w:t xml:space="preserve">%, </w:t>
      </w:r>
      <w:r>
        <w:t xml:space="preserve">odnosno u apsolutnom iznosu </w:t>
      </w:r>
      <w:r w:rsidR="0071340E">
        <w:t>manji</w:t>
      </w:r>
      <w:r>
        <w:t xml:space="preserve"> za </w:t>
      </w:r>
      <w:r w:rsidR="00E25458">
        <w:t>21.260</w:t>
      </w:r>
      <w:r>
        <w:t xml:space="preserve"> KM. </w:t>
      </w:r>
    </w:p>
    <w:p w:rsidR="00957836" w:rsidRPr="006C23C9" w:rsidRDefault="00957836" w:rsidP="009554E4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9554E4" w:rsidRDefault="009554E4" w:rsidP="009554E4">
      <w:pPr>
        <w:pStyle w:val="Uvuenotijeloteksta"/>
        <w:spacing w:line="240" w:lineRule="auto"/>
        <w:ind w:firstLine="0"/>
      </w:pPr>
      <w:r>
        <w:t>Slijedi tablični i grafički prikaz strukture ostvarenih prihoda po osnovi naknada i pristojbi i prihoda od pružanja javnih usluga.</w:t>
      </w:r>
    </w:p>
    <w:p w:rsidR="00032706" w:rsidRDefault="00032706" w:rsidP="009554E4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9554E4" w:rsidRPr="00FD3224" w:rsidRDefault="009554E4" w:rsidP="009554E4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t xml:space="preserve">Tablica </w:t>
      </w:r>
      <w:r w:rsidR="00A832B5">
        <w:rPr>
          <w:sz w:val="20"/>
          <w:szCs w:val="20"/>
        </w:rPr>
        <w:t>5</w:t>
      </w:r>
      <w:r w:rsidRPr="00FD3224">
        <w:rPr>
          <w:sz w:val="20"/>
          <w:szCs w:val="20"/>
        </w:rPr>
        <w:t xml:space="preserve">. Struktura ostvarenih </w:t>
      </w:r>
      <w:r>
        <w:rPr>
          <w:sz w:val="20"/>
          <w:szCs w:val="20"/>
        </w:rPr>
        <w:t>prihoda od naknada i pristojbi i prihoda od pružanja javnih usluga</w:t>
      </w:r>
      <w:r w:rsidRPr="00FD3224">
        <w:rPr>
          <w:sz w:val="20"/>
          <w:szCs w:val="20"/>
        </w:rPr>
        <w:t xml:space="preserve"> Proračuna </w:t>
      </w:r>
      <w:proofErr w:type="spellStart"/>
      <w:r w:rsidRPr="00FD3224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FD3224">
        <w:rPr>
          <w:sz w:val="20"/>
          <w:szCs w:val="20"/>
        </w:rPr>
        <w:t>Posavske</w:t>
      </w:r>
      <w:proofErr w:type="spellEnd"/>
      <w:r w:rsidRPr="00FD3224">
        <w:rPr>
          <w:sz w:val="20"/>
          <w:szCs w:val="20"/>
        </w:rPr>
        <w:t xml:space="preserve"> u razdoblju 01.01.-</w:t>
      </w:r>
      <w:r w:rsidR="007D6BB7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E25458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253805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5637"/>
        <w:gridCol w:w="2409"/>
        <w:gridCol w:w="1242"/>
      </w:tblGrid>
      <w:tr w:rsidR="009554E4" w:rsidRPr="00A15A60" w:rsidTr="00612567">
        <w:trPr>
          <w:cnfStyle w:val="100000000000"/>
        </w:trPr>
        <w:tc>
          <w:tcPr>
            <w:cnfStyle w:val="001000000100"/>
            <w:tcW w:w="5637" w:type="dxa"/>
            <w:vAlign w:val="center"/>
          </w:tcPr>
          <w:p w:rsidR="009554E4" w:rsidRPr="00A15A60" w:rsidRDefault="009554E4" w:rsidP="00612567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2409" w:type="dxa"/>
          </w:tcPr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8C59DE" w:rsidRDefault="009554E4" w:rsidP="008C59DE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7D6BB7">
              <w:rPr>
                <w:b/>
                <w:sz w:val="22"/>
              </w:rPr>
              <w:t>30</w:t>
            </w:r>
            <w:r w:rsidRPr="00A15A60">
              <w:rPr>
                <w:b/>
                <w:sz w:val="22"/>
              </w:rPr>
              <w:t>.0</w:t>
            </w:r>
            <w:r w:rsidR="00E25458">
              <w:rPr>
                <w:b/>
                <w:sz w:val="22"/>
              </w:rPr>
              <w:t>9</w:t>
            </w:r>
            <w:r w:rsidRPr="00A15A60">
              <w:rPr>
                <w:b/>
                <w:sz w:val="22"/>
              </w:rPr>
              <w:t>.20</w:t>
            </w:r>
            <w:r w:rsidR="00253805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 xml:space="preserve">.g. </w:t>
            </w:r>
          </w:p>
          <w:p w:rsidR="009554E4" w:rsidRPr="00A15A60" w:rsidRDefault="009554E4" w:rsidP="008C59DE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(u KM)</w:t>
            </w:r>
          </w:p>
        </w:tc>
        <w:tc>
          <w:tcPr>
            <w:tcW w:w="1242" w:type="dxa"/>
          </w:tcPr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9554E4" w:rsidRPr="00A15A60" w:rsidRDefault="009554E4" w:rsidP="0061256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5637" w:type="dxa"/>
          </w:tcPr>
          <w:p w:rsidR="009554E4" w:rsidRPr="00A15A60" w:rsidRDefault="00B232BA" w:rsidP="00612567">
            <w:pPr>
              <w:jc w:val="both"/>
              <w:rPr>
                <w:sz w:val="22"/>
              </w:rPr>
            </w:pPr>
            <w:r>
              <w:rPr>
                <w:sz w:val="22"/>
              </w:rPr>
              <w:t>Administrativne pristojbe</w:t>
            </w:r>
          </w:p>
        </w:tc>
        <w:tc>
          <w:tcPr>
            <w:tcW w:w="2409" w:type="dxa"/>
            <w:vAlign w:val="center"/>
          </w:tcPr>
          <w:p w:rsidR="009554E4" w:rsidRPr="00A15A60" w:rsidRDefault="00E25458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70.210</w:t>
            </w:r>
          </w:p>
        </w:tc>
        <w:tc>
          <w:tcPr>
            <w:tcW w:w="1242" w:type="dxa"/>
            <w:vAlign w:val="center"/>
          </w:tcPr>
          <w:p w:rsidR="009554E4" w:rsidRPr="00A15A60" w:rsidRDefault="00E25458" w:rsidP="0061256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4,61</w:t>
            </w:r>
          </w:p>
        </w:tc>
      </w:tr>
      <w:tr w:rsidR="009554E4" w:rsidRPr="00A15A60" w:rsidTr="00612567">
        <w:tc>
          <w:tcPr>
            <w:cnfStyle w:val="001000000000"/>
            <w:tcW w:w="5637" w:type="dxa"/>
          </w:tcPr>
          <w:p w:rsidR="009554E4" w:rsidRPr="00A15A60" w:rsidRDefault="00B232BA" w:rsidP="00612567">
            <w:pPr>
              <w:jc w:val="both"/>
              <w:rPr>
                <w:sz w:val="22"/>
              </w:rPr>
            </w:pPr>
            <w:r>
              <w:rPr>
                <w:sz w:val="22"/>
              </w:rPr>
              <w:t>Sudske pristojbe</w:t>
            </w:r>
          </w:p>
        </w:tc>
        <w:tc>
          <w:tcPr>
            <w:tcW w:w="2409" w:type="dxa"/>
            <w:vAlign w:val="center"/>
          </w:tcPr>
          <w:p w:rsidR="009554E4" w:rsidRPr="00A15A60" w:rsidRDefault="00E25458" w:rsidP="0061256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283.190</w:t>
            </w:r>
          </w:p>
        </w:tc>
        <w:tc>
          <w:tcPr>
            <w:tcW w:w="1242" w:type="dxa"/>
            <w:vAlign w:val="center"/>
          </w:tcPr>
          <w:p w:rsidR="009554E4" w:rsidRPr="00A15A60" w:rsidRDefault="00E25458" w:rsidP="00253805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18,61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5637" w:type="dxa"/>
          </w:tcPr>
          <w:p w:rsidR="009554E4" w:rsidRPr="00A15A60" w:rsidRDefault="00B232BA" w:rsidP="00612567">
            <w:pPr>
              <w:jc w:val="both"/>
              <w:rPr>
                <w:sz w:val="22"/>
              </w:rPr>
            </w:pPr>
            <w:r>
              <w:rPr>
                <w:sz w:val="22"/>
              </w:rPr>
              <w:t>Ostale proračunske naknade</w:t>
            </w:r>
          </w:p>
        </w:tc>
        <w:tc>
          <w:tcPr>
            <w:tcW w:w="2409" w:type="dxa"/>
            <w:vAlign w:val="center"/>
          </w:tcPr>
          <w:p w:rsidR="009554E4" w:rsidRPr="00A15A60" w:rsidRDefault="00E25458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143.247</w:t>
            </w:r>
          </w:p>
        </w:tc>
        <w:tc>
          <w:tcPr>
            <w:tcW w:w="1242" w:type="dxa"/>
            <w:vAlign w:val="center"/>
          </w:tcPr>
          <w:p w:rsidR="009554E4" w:rsidRPr="00A15A60" w:rsidRDefault="00E25458" w:rsidP="0061256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9,41</w:t>
            </w:r>
          </w:p>
        </w:tc>
      </w:tr>
      <w:tr w:rsidR="00B232BA" w:rsidRPr="00A15A60" w:rsidTr="00612567">
        <w:tc>
          <w:tcPr>
            <w:cnfStyle w:val="001000000000"/>
            <w:tcW w:w="5637" w:type="dxa"/>
          </w:tcPr>
          <w:p w:rsidR="00B232BA" w:rsidRDefault="00B232BA" w:rsidP="00B232B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Naknade i pristojbe po </w:t>
            </w:r>
            <w:proofErr w:type="spellStart"/>
            <w:r>
              <w:rPr>
                <w:sz w:val="22"/>
              </w:rPr>
              <w:t>Fed.zakonima</w:t>
            </w:r>
            <w:proofErr w:type="spellEnd"/>
            <w:r>
              <w:rPr>
                <w:sz w:val="22"/>
              </w:rPr>
              <w:t xml:space="preserve"> i drugim propisima</w:t>
            </w:r>
          </w:p>
        </w:tc>
        <w:tc>
          <w:tcPr>
            <w:tcW w:w="2409" w:type="dxa"/>
            <w:vAlign w:val="center"/>
          </w:tcPr>
          <w:p w:rsidR="00B232BA" w:rsidRPr="00A15A60" w:rsidRDefault="00E25458" w:rsidP="0061256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744.243</w:t>
            </w:r>
          </w:p>
        </w:tc>
        <w:tc>
          <w:tcPr>
            <w:tcW w:w="1242" w:type="dxa"/>
            <w:vAlign w:val="center"/>
          </w:tcPr>
          <w:p w:rsidR="00B232BA" w:rsidRPr="00A15A60" w:rsidRDefault="00E25458" w:rsidP="00236105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48,90</w:t>
            </w:r>
          </w:p>
        </w:tc>
      </w:tr>
      <w:tr w:rsidR="00B232BA" w:rsidRPr="00A15A60" w:rsidTr="00612567">
        <w:trPr>
          <w:cnfStyle w:val="000000100000"/>
        </w:trPr>
        <w:tc>
          <w:tcPr>
            <w:cnfStyle w:val="001000000000"/>
            <w:tcW w:w="5637" w:type="dxa"/>
          </w:tcPr>
          <w:p w:rsidR="00B232BA" w:rsidRDefault="00B232BA" w:rsidP="00612567">
            <w:pPr>
              <w:jc w:val="both"/>
              <w:rPr>
                <w:sz w:val="22"/>
              </w:rPr>
            </w:pPr>
            <w:r>
              <w:rPr>
                <w:sz w:val="22"/>
              </w:rPr>
              <w:t>Prihodi od pružanja javnih usluga</w:t>
            </w:r>
          </w:p>
        </w:tc>
        <w:tc>
          <w:tcPr>
            <w:tcW w:w="2409" w:type="dxa"/>
            <w:vAlign w:val="center"/>
          </w:tcPr>
          <w:p w:rsidR="00B232BA" w:rsidRPr="00A15A60" w:rsidRDefault="00E25458" w:rsidP="0061256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235.681</w:t>
            </w:r>
          </w:p>
        </w:tc>
        <w:tc>
          <w:tcPr>
            <w:tcW w:w="1242" w:type="dxa"/>
            <w:vAlign w:val="center"/>
          </w:tcPr>
          <w:p w:rsidR="00B232BA" w:rsidRPr="00A15A60" w:rsidRDefault="00E25458" w:rsidP="0061256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15,49</w:t>
            </w:r>
          </w:p>
        </w:tc>
      </w:tr>
      <w:tr w:rsidR="00B232BA" w:rsidRPr="00A15A60" w:rsidTr="00612567">
        <w:tc>
          <w:tcPr>
            <w:cnfStyle w:val="001000000000"/>
            <w:tcW w:w="5637" w:type="dxa"/>
          </w:tcPr>
          <w:p w:rsidR="00B232BA" w:rsidRDefault="00B232BA" w:rsidP="00612567">
            <w:pPr>
              <w:jc w:val="both"/>
              <w:rPr>
                <w:sz w:val="22"/>
              </w:rPr>
            </w:pPr>
            <w:r>
              <w:rPr>
                <w:sz w:val="22"/>
              </w:rPr>
              <w:t>Neplanirane uplate - prihodi</w:t>
            </w:r>
          </w:p>
        </w:tc>
        <w:tc>
          <w:tcPr>
            <w:tcW w:w="2409" w:type="dxa"/>
            <w:vAlign w:val="center"/>
          </w:tcPr>
          <w:p w:rsidR="00B232BA" w:rsidRPr="00A15A60" w:rsidRDefault="00E25458" w:rsidP="0061256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45.348</w:t>
            </w:r>
          </w:p>
        </w:tc>
        <w:tc>
          <w:tcPr>
            <w:tcW w:w="1242" w:type="dxa"/>
            <w:vAlign w:val="center"/>
          </w:tcPr>
          <w:p w:rsidR="00B232BA" w:rsidRPr="00A15A60" w:rsidRDefault="00E25458" w:rsidP="00175533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2,98</w:t>
            </w:r>
          </w:p>
        </w:tc>
      </w:tr>
      <w:tr w:rsidR="009554E4" w:rsidRPr="00A15A60" w:rsidTr="00612567">
        <w:trPr>
          <w:cnfStyle w:val="000000100000"/>
        </w:trPr>
        <w:tc>
          <w:tcPr>
            <w:cnfStyle w:val="001000000000"/>
            <w:tcW w:w="5637" w:type="dxa"/>
          </w:tcPr>
          <w:p w:rsidR="009554E4" w:rsidRPr="00A15A60" w:rsidRDefault="009554E4" w:rsidP="00612567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2409" w:type="dxa"/>
            <w:vAlign w:val="center"/>
          </w:tcPr>
          <w:p w:rsidR="009554E4" w:rsidRPr="00A15A60" w:rsidRDefault="002B4957" w:rsidP="006C23C9">
            <w:pPr>
              <w:ind w:right="743"/>
              <w:jc w:val="right"/>
              <w:cnfStyle w:val="0000001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E25458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E25458">
              <w:rPr>
                <w:b/>
                <w:noProof/>
                <w:sz w:val="22"/>
              </w:rPr>
              <w:t>1.521.919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9554E4" w:rsidRPr="00A15A60" w:rsidRDefault="002B4957" w:rsidP="00612567">
            <w:pPr>
              <w:ind w:right="283"/>
              <w:jc w:val="right"/>
              <w:cnfStyle w:val="0000001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E25458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E25458"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 w:rsidR="00E25458">
              <w:rPr>
                <w:b/>
                <w:sz w:val="22"/>
              </w:rPr>
              <w:t>,00</w:t>
            </w:r>
          </w:p>
        </w:tc>
      </w:tr>
    </w:tbl>
    <w:p w:rsidR="009554E4" w:rsidRDefault="009554E4" w:rsidP="00255AC1">
      <w:pPr>
        <w:pStyle w:val="Uvuenotijeloteksta"/>
        <w:spacing w:line="240" w:lineRule="auto"/>
        <w:ind w:firstLine="0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670550" cy="2336800"/>
            <wp:effectExtent l="19050" t="0" r="635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F56197">
        <w:rPr>
          <w:sz w:val="20"/>
          <w:szCs w:val="20"/>
        </w:rPr>
        <w:t xml:space="preserve">Graf </w:t>
      </w:r>
      <w:r w:rsidR="00A832B5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FF2F82">
        <w:rPr>
          <w:sz w:val="20"/>
          <w:szCs w:val="20"/>
        </w:rPr>
        <w:t xml:space="preserve"> </w:t>
      </w:r>
      <w:r>
        <w:rPr>
          <w:sz w:val="20"/>
          <w:szCs w:val="20"/>
        </w:rPr>
        <w:t>Struktura ostvarenih prihoda od naknada i pristojbi i prihoda od pružanja javnih usluga</w:t>
      </w:r>
      <w:r w:rsidRPr="00F56197">
        <w:rPr>
          <w:sz w:val="20"/>
          <w:szCs w:val="20"/>
        </w:rPr>
        <w:t xml:space="preserve"> Proračuna Županije Posavske u razdoblju 01.01.-</w:t>
      </w:r>
      <w:r w:rsidR="00EC0F70">
        <w:rPr>
          <w:sz w:val="20"/>
          <w:szCs w:val="20"/>
        </w:rPr>
        <w:t>30</w:t>
      </w:r>
      <w:r w:rsidRPr="00F56197">
        <w:rPr>
          <w:sz w:val="20"/>
          <w:szCs w:val="20"/>
        </w:rPr>
        <w:t>.0</w:t>
      </w:r>
      <w:r w:rsidR="00E25458">
        <w:rPr>
          <w:sz w:val="20"/>
          <w:szCs w:val="20"/>
        </w:rPr>
        <w:t>9</w:t>
      </w:r>
      <w:r w:rsidRPr="00F56197">
        <w:rPr>
          <w:sz w:val="20"/>
          <w:szCs w:val="20"/>
        </w:rPr>
        <w:t>.20</w:t>
      </w:r>
      <w:r w:rsidR="00CC0654">
        <w:rPr>
          <w:sz w:val="20"/>
          <w:szCs w:val="20"/>
        </w:rPr>
        <w:t>20</w:t>
      </w:r>
      <w:r w:rsidRPr="00F56197">
        <w:rPr>
          <w:sz w:val="20"/>
          <w:szCs w:val="20"/>
        </w:rPr>
        <w:t>.</w:t>
      </w:r>
      <w:r w:rsidRPr="00FD3224">
        <w:rPr>
          <w:sz w:val="20"/>
          <w:szCs w:val="20"/>
        </w:rPr>
        <w:t xml:space="preserve"> g</w:t>
      </w:r>
      <w:r>
        <w:rPr>
          <w:sz w:val="20"/>
          <w:szCs w:val="20"/>
        </w:rPr>
        <w:t>.</w:t>
      </w:r>
    </w:p>
    <w:p w:rsidR="009D4BD9" w:rsidRDefault="009D4BD9" w:rsidP="009554E4">
      <w:pPr>
        <w:pStyle w:val="Uvuenotijeloteksta"/>
        <w:spacing w:line="240" w:lineRule="auto"/>
        <w:ind w:firstLine="0"/>
      </w:pPr>
    </w:p>
    <w:p w:rsidR="009D4BD9" w:rsidRDefault="009D4BD9" w:rsidP="009554E4">
      <w:pPr>
        <w:pStyle w:val="Uvuenotijeloteksta"/>
        <w:spacing w:line="240" w:lineRule="auto"/>
        <w:ind w:firstLine="0"/>
      </w:pPr>
      <w:r w:rsidRPr="009C6AD4">
        <w:rPr>
          <w:b/>
          <w:i/>
        </w:rPr>
        <w:t>Administrativne pristojbe (glavna skupina 722100)</w:t>
      </w:r>
      <w:r w:rsidRPr="009C6AD4">
        <w:t xml:space="preserve"> ostvarene su u iznosu od </w:t>
      </w:r>
      <w:r w:rsidR="009C6AD4">
        <w:t>70.210</w:t>
      </w:r>
      <w:r w:rsidRPr="009C6AD4">
        <w:t xml:space="preserve"> KM</w:t>
      </w:r>
      <w:r>
        <w:t xml:space="preserve"> odnosno </w:t>
      </w:r>
      <w:r w:rsidR="009C6AD4">
        <w:t>83,58</w:t>
      </w:r>
      <w:r>
        <w:t>% od planiranog.</w:t>
      </w:r>
      <w:r w:rsidR="00DF2981">
        <w:t xml:space="preserve"> U odnosu na plan razdoblja ostvareno je </w:t>
      </w:r>
      <w:r w:rsidR="009C6AD4">
        <w:t>7.210</w:t>
      </w:r>
      <w:r w:rsidR="00DF2981">
        <w:t xml:space="preserve"> KM </w:t>
      </w:r>
      <w:r w:rsidR="0071340E">
        <w:t xml:space="preserve">administrativnih </w:t>
      </w:r>
      <w:r w:rsidR="00DF2981">
        <w:t xml:space="preserve">pristojbi </w:t>
      </w:r>
      <w:r w:rsidR="00EC0F70">
        <w:t>više</w:t>
      </w:r>
      <w:r w:rsidR="007615E6">
        <w:t xml:space="preserve">, </w:t>
      </w:r>
      <w:r w:rsidR="00DF2981">
        <w:t xml:space="preserve">odnosno </w:t>
      </w:r>
      <w:r w:rsidR="009C6AD4">
        <w:t>11,44</w:t>
      </w:r>
      <w:r w:rsidR="00DF2981">
        <w:t xml:space="preserve">% </w:t>
      </w:r>
      <w:r w:rsidR="00EC0F70">
        <w:t>više</w:t>
      </w:r>
      <w:r w:rsidR="00DF2981">
        <w:t xml:space="preserve">. </w:t>
      </w:r>
      <w:r w:rsidR="00032706">
        <w:t>U odnosu na isto razdoblje 201</w:t>
      </w:r>
      <w:r w:rsidR="002D3751">
        <w:t>9</w:t>
      </w:r>
      <w:r w:rsidR="00032706">
        <w:t xml:space="preserve">. godine uočava </w:t>
      </w:r>
      <w:r w:rsidR="00EC0F70">
        <w:t xml:space="preserve">se </w:t>
      </w:r>
      <w:r w:rsidR="00B43577">
        <w:t>smanjenje</w:t>
      </w:r>
      <w:r w:rsidR="00032706">
        <w:t xml:space="preserve"> od </w:t>
      </w:r>
      <w:r w:rsidR="009C6AD4">
        <w:t>16,93</w:t>
      </w:r>
      <w:r w:rsidR="00DF2981">
        <w:t>%</w:t>
      </w:r>
      <w:r w:rsidR="002D3751">
        <w:t>,</w:t>
      </w:r>
      <w:r w:rsidR="00032706">
        <w:t xml:space="preserve"> ili u apsolutnom iznosu </w:t>
      </w:r>
      <w:r w:rsidR="00B43577">
        <w:t>smanjenje</w:t>
      </w:r>
      <w:r w:rsidR="00032706">
        <w:t xml:space="preserve"> </w:t>
      </w:r>
      <w:r w:rsidR="00B43577">
        <w:t>za</w:t>
      </w:r>
      <w:r w:rsidR="00032706">
        <w:t xml:space="preserve"> </w:t>
      </w:r>
      <w:r w:rsidR="009C6AD4">
        <w:t>14.307</w:t>
      </w:r>
      <w:r w:rsidR="00032706">
        <w:t xml:space="preserve"> KM.</w:t>
      </w:r>
    </w:p>
    <w:p w:rsidR="00DF2981" w:rsidRPr="00497006" w:rsidRDefault="00DF2981" w:rsidP="009554E4">
      <w:pPr>
        <w:pStyle w:val="Uvuenotijeloteksta"/>
        <w:spacing w:line="240" w:lineRule="auto"/>
        <w:ind w:firstLine="0"/>
      </w:pPr>
    </w:p>
    <w:p w:rsidR="00DF2981" w:rsidRDefault="00DF2981" w:rsidP="009554E4">
      <w:pPr>
        <w:pStyle w:val="Uvuenotijeloteksta"/>
        <w:spacing w:line="240" w:lineRule="auto"/>
        <w:ind w:firstLine="0"/>
      </w:pPr>
      <w:r w:rsidRPr="000A683A">
        <w:rPr>
          <w:b/>
          <w:i/>
        </w:rPr>
        <w:t>Sudske pristojbe (glavna skupina 722200)</w:t>
      </w:r>
      <w:r>
        <w:t xml:space="preserve"> ostvarene su u iznosu od </w:t>
      </w:r>
      <w:r w:rsidR="009C6AD4">
        <w:t>283.190</w:t>
      </w:r>
      <w:r>
        <w:t xml:space="preserve"> KM odnosno </w:t>
      </w:r>
      <w:r w:rsidR="009C6AD4">
        <w:t>102,50</w:t>
      </w:r>
      <w:r>
        <w:t>% planiranog u 20</w:t>
      </w:r>
      <w:r w:rsidR="005E5BE2">
        <w:t>20</w:t>
      </w:r>
      <w:r>
        <w:t>. godini. Promatrano u odnosu na planirano u razdoblju siječanj-</w:t>
      </w:r>
      <w:r w:rsidR="009C6AD4">
        <w:t>rujan</w:t>
      </w:r>
      <w:r>
        <w:t xml:space="preserve"> 20</w:t>
      </w:r>
      <w:r w:rsidR="005E5BE2">
        <w:t>20</w:t>
      </w:r>
      <w:r>
        <w:t xml:space="preserve">. godine ostvarenje je </w:t>
      </w:r>
      <w:r w:rsidR="00770D99">
        <w:t>veće</w:t>
      </w:r>
      <w:r>
        <w:t xml:space="preserve"> za </w:t>
      </w:r>
      <w:r w:rsidR="009C6AD4">
        <w:t>75.980</w:t>
      </w:r>
      <w:r>
        <w:t xml:space="preserve"> KM</w:t>
      </w:r>
      <w:r w:rsidR="005E5BE2">
        <w:t>,</w:t>
      </w:r>
      <w:r>
        <w:t xml:space="preserve"> ili </w:t>
      </w:r>
      <w:r w:rsidR="00770D99">
        <w:t>veće</w:t>
      </w:r>
      <w:r>
        <w:t xml:space="preserve"> za </w:t>
      </w:r>
      <w:r w:rsidR="009C6AD4">
        <w:t>36,67</w:t>
      </w:r>
      <w:r>
        <w:t>%. U odnosu na ostvarenje iz razdoblja siječanj-</w:t>
      </w:r>
      <w:r w:rsidR="009C6AD4">
        <w:t>rujan</w:t>
      </w:r>
      <w:r>
        <w:t xml:space="preserve"> 201</w:t>
      </w:r>
      <w:r w:rsidR="005E5BE2">
        <w:t>9</w:t>
      </w:r>
      <w:r>
        <w:t>. godine došlo je</w:t>
      </w:r>
      <w:r w:rsidR="005E5BE2">
        <w:t xml:space="preserve"> do smanjenja</w:t>
      </w:r>
      <w:r>
        <w:t xml:space="preserve"> prihoda od sudskih pristojbi za </w:t>
      </w:r>
      <w:r w:rsidR="009C6AD4">
        <w:t>14.779</w:t>
      </w:r>
      <w:r w:rsidR="007615E6">
        <w:t xml:space="preserve"> </w:t>
      </w:r>
      <w:r w:rsidR="00957836">
        <w:t xml:space="preserve">KM ili </w:t>
      </w:r>
      <w:r w:rsidR="005E5BE2">
        <w:t>smanjenja</w:t>
      </w:r>
      <w:r w:rsidR="00A07E83">
        <w:t xml:space="preserve"> </w:t>
      </w:r>
      <w:r w:rsidR="00957836">
        <w:t xml:space="preserve">za </w:t>
      </w:r>
      <w:r w:rsidR="009C6AD4">
        <w:t>4,96</w:t>
      </w:r>
      <w:r w:rsidR="00957836">
        <w:t>%.</w:t>
      </w:r>
    </w:p>
    <w:p w:rsidR="00957836" w:rsidRPr="00497006" w:rsidRDefault="00957836" w:rsidP="009554E4">
      <w:pPr>
        <w:pStyle w:val="Uvuenotijeloteksta"/>
        <w:spacing w:line="240" w:lineRule="auto"/>
        <w:ind w:firstLine="0"/>
      </w:pPr>
    </w:p>
    <w:p w:rsidR="00CC7450" w:rsidRDefault="00957836" w:rsidP="00957836">
      <w:pPr>
        <w:pStyle w:val="Uvuenotijeloteksta"/>
        <w:spacing w:line="240" w:lineRule="auto"/>
        <w:ind w:firstLine="0"/>
      </w:pPr>
      <w:r w:rsidRPr="000A683A">
        <w:rPr>
          <w:b/>
          <w:i/>
        </w:rPr>
        <w:t>Ostale proračunske naknade (glavna skupina 722400)</w:t>
      </w:r>
      <w:r w:rsidRPr="00E32987">
        <w:t xml:space="preserve"> ostvarene su u iznosu od </w:t>
      </w:r>
      <w:r w:rsidR="009C6AD4">
        <w:t>143.247</w:t>
      </w:r>
      <w:r w:rsidRPr="00E32987">
        <w:t xml:space="preserve"> KM</w:t>
      </w:r>
      <w:r>
        <w:t xml:space="preserve"> odnosno </w:t>
      </w:r>
      <w:r w:rsidR="009C6AD4">
        <w:t>74,39</w:t>
      </w:r>
      <w:r w:rsidR="001504B2">
        <w:t>%</w:t>
      </w:r>
      <w:r>
        <w:t xml:space="preserve"> ukupnog plana za 20</w:t>
      </w:r>
      <w:r w:rsidR="005E5BE2">
        <w:t>20</w:t>
      </w:r>
      <w:r>
        <w:t xml:space="preserve">. godinu. </w:t>
      </w:r>
      <w:r w:rsidRPr="00E32987">
        <w:t>U odnosu</w:t>
      </w:r>
      <w:r>
        <w:t xml:space="preserve"> na ostvarenje u istom razdoblju prethodne godine ovdje se radi o </w:t>
      </w:r>
      <w:r w:rsidR="009C6AD4">
        <w:t>neznatnom smanjenju</w:t>
      </w:r>
      <w:r>
        <w:t xml:space="preserve"> za </w:t>
      </w:r>
      <w:r w:rsidR="009C6AD4">
        <w:t>26</w:t>
      </w:r>
      <w:r w:rsidR="005A29A6">
        <w:t xml:space="preserve"> KM</w:t>
      </w:r>
      <w:r w:rsidR="00096E7C">
        <w:t xml:space="preserve">. </w:t>
      </w:r>
      <w:r w:rsidR="009C6AD4">
        <w:t>Smanjenje u odnosu na prethodnu godinu uočava se na naknadama za šume (722450 i 722470) dok je do povećanja u odnosu na prethodnu godinu došlo na skupini Županijske naknade (naknada za korištenje poljoprivrednog zemljišta u nepoljoprivredne svrhe, naknade za obavljeni tehnički pregled vozila koja pripadaju županijama i ostalih županijskih naknada)</w:t>
      </w:r>
      <w:r w:rsidR="00EC0F70">
        <w:t>.</w:t>
      </w:r>
      <w:r w:rsidR="005A29A6">
        <w:t xml:space="preserve"> </w:t>
      </w:r>
    </w:p>
    <w:p w:rsidR="00CC7450" w:rsidRDefault="00CC7450" w:rsidP="00957836">
      <w:pPr>
        <w:pStyle w:val="Uvuenotijeloteksta"/>
        <w:spacing w:line="240" w:lineRule="auto"/>
        <w:ind w:firstLine="0"/>
      </w:pPr>
    </w:p>
    <w:p w:rsidR="00957836" w:rsidRDefault="00957836" w:rsidP="00957836">
      <w:pPr>
        <w:pStyle w:val="Uvuenotijeloteksta"/>
        <w:spacing w:line="240" w:lineRule="auto"/>
        <w:ind w:firstLine="0"/>
      </w:pPr>
      <w:r>
        <w:t>Slijedi tablični i grafički prikaz strukture ostvarenih prihoda po osnovi ostalih proračunskih naknada.</w:t>
      </w:r>
    </w:p>
    <w:p w:rsidR="009C6AD4" w:rsidRDefault="009C6AD4" w:rsidP="00957836">
      <w:pPr>
        <w:jc w:val="both"/>
        <w:rPr>
          <w:sz w:val="20"/>
          <w:szCs w:val="20"/>
        </w:rPr>
      </w:pPr>
    </w:p>
    <w:p w:rsidR="00957836" w:rsidRPr="00FD3224" w:rsidRDefault="00957836" w:rsidP="00957836">
      <w:pPr>
        <w:jc w:val="both"/>
        <w:rPr>
          <w:sz w:val="20"/>
          <w:szCs w:val="20"/>
        </w:rPr>
      </w:pPr>
      <w:r w:rsidRPr="00A832B5">
        <w:rPr>
          <w:sz w:val="20"/>
          <w:szCs w:val="20"/>
        </w:rPr>
        <w:t xml:space="preserve">Tablica </w:t>
      </w:r>
      <w:r w:rsidR="00A832B5">
        <w:rPr>
          <w:sz w:val="20"/>
          <w:szCs w:val="20"/>
        </w:rPr>
        <w:t>6</w:t>
      </w:r>
      <w:r w:rsidRPr="00FD3224">
        <w:rPr>
          <w:sz w:val="20"/>
          <w:szCs w:val="20"/>
        </w:rPr>
        <w:t xml:space="preserve">. Struktura ostvarenih </w:t>
      </w:r>
      <w:r>
        <w:rPr>
          <w:sz w:val="20"/>
          <w:szCs w:val="20"/>
        </w:rPr>
        <w:t xml:space="preserve">prihoda od ostalih proračunskih naknada </w:t>
      </w:r>
      <w:r w:rsidRPr="00FD3224">
        <w:rPr>
          <w:sz w:val="20"/>
          <w:szCs w:val="20"/>
        </w:rPr>
        <w:t xml:space="preserve">Proračuna </w:t>
      </w:r>
      <w:proofErr w:type="spellStart"/>
      <w:r w:rsidRPr="00FD3224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FD3224">
        <w:rPr>
          <w:sz w:val="20"/>
          <w:szCs w:val="20"/>
        </w:rPr>
        <w:t>Posavske</w:t>
      </w:r>
      <w:proofErr w:type="spellEnd"/>
      <w:r w:rsidRPr="00FD3224">
        <w:rPr>
          <w:sz w:val="20"/>
          <w:szCs w:val="20"/>
        </w:rPr>
        <w:t xml:space="preserve"> u razdoblju 01.01.-</w:t>
      </w:r>
      <w:r w:rsidR="00EC0F70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9C6AD4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5E5BE2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5637"/>
        <w:gridCol w:w="2409"/>
        <w:gridCol w:w="1242"/>
      </w:tblGrid>
      <w:tr w:rsidR="00957836" w:rsidRPr="00A15A60" w:rsidTr="00957836">
        <w:trPr>
          <w:cnfStyle w:val="100000000000"/>
        </w:trPr>
        <w:tc>
          <w:tcPr>
            <w:cnfStyle w:val="001000000100"/>
            <w:tcW w:w="5637" w:type="dxa"/>
            <w:vAlign w:val="center"/>
          </w:tcPr>
          <w:p w:rsidR="00957836" w:rsidRPr="00A15A60" w:rsidRDefault="00957836" w:rsidP="00957836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2409" w:type="dxa"/>
          </w:tcPr>
          <w:p w:rsidR="00957836" w:rsidRPr="00A15A60" w:rsidRDefault="00957836" w:rsidP="00957836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957836" w:rsidRDefault="00957836" w:rsidP="00957836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EC0F70">
              <w:rPr>
                <w:b/>
                <w:sz w:val="22"/>
              </w:rPr>
              <w:t>30</w:t>
            </w:r>
            <w:r w:rsidRPr="00A15A60">
              <w:rPr>
                <w:b/>
                <w:sz w:val="22"/>
              </w:rPr>
              <w:t>.0</w:t>
            </w:r>
            <w:r w:rsidR="009C6AD4">
              <w:rPr>
                <w:b/>
                <w:sz w:val="22"/>
              </w:rPr>
              <w:t>9</w:t>
            </w:r>
            <w:r w:rsidRPr="00A15A60">
              <w:rPr>
                <w:b/>
                <w:sz w:val="22"/>
              </w:rPr>
              <w:t>.20</w:t>
            </w:r>
            <w:r w:rsidR="005E5BE2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 xml:space="preserve">.g. </w:t>
            </w:r>
          </w:p>
          <w:p w:rsidR="00957836" w:rsidRPr="00A15A60" w:rsidRDefault="00957836" w:rsidP="00957836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(u KM)</w:t>
            </w:r>
          </w:p>
        </w:tc>
        <w:tc>
          <w:tcPr>
            <w:tcW w:w="1242" w:type="dxa"/>
          </w:tcPr>
          <w:p w:rsidR="00957836" w:rsidRPr="00A15A60" w:rsidRDefault="00957836" w:rsidP="00957836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957836" w:rsidRPr="00A15A60" w:rsidRDefault="00957836" w:rsidP="00957836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957836" w:rsidRPr="00A15A60" w:rsidTr="00957836">
        <w:trPr>
          <w:cnfStyle w:val="000000100000"/>
        </w:trPr>
        <w:tc>
          <w:tcPr>
            <w:cnfStyle w:val="001000000000"/>
            <w:tcW w:w="5637" w:type="dxa"/>
          </w:tcPr>
          <w:p w:rsidR="00957836" w:rsidRPr="00A15A60" w:rsidRDefault="00957836" w:rsidP="00957836">
            <w:pPr>
              <w:jc w:val="both"/>
              <w:rPr>
                <w:sz w:val="22"/>
              </w:rPr>
            </w:pPr>
            <w:r>
              <w:rPr>
                <w:sz w:val="22"/>
              </w:rPr>
              <w:t>Županijske naknade</w:t>
            </w:r>
          </w:p>
        </w:tc>
        <w:tc>
          <w:tcPr>
            <w:tcW w:w="2409" w:type="dxa"/>
            <w:vAlign w:val="center"/>
          </w:tcPr>
          <w:p w:rsidR="00957836" w:rsidRPr="00A15A60" w:rsidRDefault="009C6AD4" w:rsidP="00957836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41.135</w:t>
            </w:r>
          </w:p>
        </w:tc>
        <w:tc>
          <w:tcPr>
            <w:tcW w:w="1242" w:type="dxa"/>
            <w:vAlign w:val="center"/>
          </w:tcPr>
          <w:p w:rsidR="00957836" w:rsidRPr="00A15A60" w:rsidRDefault="009C6AD4" w:rsidP="00957836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28,72</w:t>
            </w:r>
          </w:p>
        </w:tc>
      </w:tr>
      <w:tr w:rsidR="00957836" w:rsidRPr="00A15A60" w:rsidTr="00957836">
        <w:tc>
          <w:tcPr>
            <w:cnfStyle w:val="001000000000"/>
            <w:tcW w:w="5637" w:type="dxa"/>
          </w:tcPr>
          <w:p w:rsidR="00957836" w:rsidRPr="00A15A60" w:rsidRDefault="00957836" w:rsidP="00957836">
            <w:pPr>
              <w:jc w:val="both"/>
              <w:rPr>
                <w:sz w:val="22"/>
              </w:rPr>
            </w:pPr>
            <w:r>
              <w:rPr>
                <w:sz w:val="22"/>
              </w:rPr>
              <w:t>Naknade za korištenje šuma</w:t>
            </w:r>
          </w:p>
        </w:tc>
        <w:tc>
          <w:tcPr>
            <w:tcW w:w="2409" w:type="dxa"/>
            <w:vAlign w:val="center"/>
          </w:tcPr>
          <w:p w:rsidR="00957836" w:rsidRPr="00A15A60" w:rsidRDefault="009C6AD4" w:rsidP="00957836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1.028</w:t>
            </w:r>
          </w:p>
        </w:tc>
        <w:tc>
          <w:tcPr>
            <w:tcW w:w="1242" w:type="dxa"/>
            <w:vAlign w:val="center"/>
          </w:tcPr>
          <w:p w:rsidR="00957836" w:rsidRPr="00A15A60" w:rsidRDefault="009C6AD4" w:rsidP="00957836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0,71</w:t>
            </w:r>
          </w:p>
        </w:tc>
      </w:tr>
      <w:tr w:rsidR="00957836" w:rsidRPr="00A15A60" w:rsidTr="00957836">
        <w:trPr>
          <w:cnfStyle w:val="000000100000"/>
        </w:trPr>
        <w:tc>
          <w:tcPr>
            <w:cnfStyle w:val="001000000000"/>
            <w:tcW w:w="5637" w:type="dxa"/>
          </w:tcPr>
          <w:p w:rsidR="00957836" w:rsidRPr="00A15A60" w:rsidRDefault="00957836" w:rsidP="0095783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Nakn.za </w:t>
            </w:r>
            <w:proofErr w:type="spellStart"/>
            <w:r>
              <w:rPr>
                <w:sz w:val="22"/>
              </w:rPr>
              <w:t>korišt</w:t>
            </w:r>
            <w:proofErr w:type="spellEnd"/>
            <w:r>
              <w:rPr>
                <w:sz w:val="22"/>
              </w:rPr>
              <w:t xml:space="preserve">., zaštitu i </w:t>
            </w:r>
            <w:proofErr w:type="spellStart"/>
            <w:r>
              <w:rPr>
                <w:sz w:val="22"/>
              </w:rPr>
              <w:t>unapređ.šuma</w:t>
            </w:r>
            <w:proofErr w:type="spellEnd"/>
            <w:r>
              <w:rPr>
                <w:sz w:val="22"/>
              </w:rPr>
              <w:t xml:space="preserve"> utvrđ.žup.propisima</w:t>
            </w:r>
          </w:p>
        </w:tc>
        <w:tc>
          <w:tcPr>
            <w:tcW w:w="2409" w:type="dxa"/>
            <w:vAlign w:val="center"/>
          </w:tcPr>
          <w:p w:rsidR="00957836" w:rsidRPr="00A15A60" w:rsidRDefault="009C6AD4" w:rsidP="00957836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101.084</w:t>
            </w:r>
          </w:p>
        </w:tc>
        <w:tc>
          <w:tcPr>
            <w:tcW w:w="1242" w:type="dxa"/>
            <w:vAlign w:val="center"/>
          </w:tcPr>
          <w:p w:rsidR="00957836" w:rsidRPr="00A15A60" w:rsidRDefault="009C6AD4" w:rsidP="00957836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70,57</w:t>
            </w:r>
          </w:p>
        </w:tc>
      </w:tr>
      <w:tr w:rsidR="00957836" w:rsidRPr="00A15A60" w:rsidTr="00957836">
        <w:tc>
          <w:tcPr>
            <w:cnfStyle w:val="001000000000"/>
            <w:tcW w:w="5637" w:type="dxa"/>
          </w:tcPr>
          <w:p w:rsidR="00957836" w:rsidRPr="00A15A60" w:rsidRDefault="00957836" w:rsidP="00957836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2409" w:type="dxa"/>
            <w:vAlign w:val="center"/>
          </w:tcPr>
          <w:p w:rsidR="00957836" w:rsidRPr="00A15A60" w:rsidRDefault="002B4957" w:rsidP="00957836">
            <w:pPr>
              <w:ind w:right="74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9C6AD4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9C6AD4">
              <w:rPr>
                <w:b/>
                <w:noProof/>
                <w:sz w:val="22"/>
              </w:rPr>
              <w:t>143.247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957836" w:rsidRPr="00A15A60" w:rsidRDefault="002B4957" w:rsidP="00957836">
            <w:pPr>
              <w:ind w:right="28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9C6AD4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9C6AD4"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 w:rsidR="009C6AD4">
              <w:rPr>
                <w:b/>
                <w:sz w:val="22"/>
              </w:rPr>
              <w:t>,00</w:t>
            </w:r>
          </w:p>
        </w:tc>
      </w:tr>
    </w:tbl>
    <w:p w:rsidR="00150110" w:rsidRDefault="00150110" w:rsidP="00150110">
      <w:pPr>
        <w:pStyle w:val="Uvuenotijeloteksta"/>
        <w:spacing w:line="240" w:lineRule="auto"/>
        <w:ind w:firstLine="0"/>
        <w:jc w:val="center"/>
        <w:rPr>
          <w:sz w:val="20"/>
          <w:szCs w:val="20"/>
        </w:rPr>
      </w:pPr>
    </w:p>
    <w:p w:rsidR="00150110" w:rsidRDefault="00150110" w:rsidP="00150110">
      <w:pPr>
        <w:pStyle w:val="Uvuenotijeloteksta"/>
        <w:spacing w:line="240" w:lineRule="auto"/>
        <w:ind w:firstLine="0"/>
        <w:jc w:val="center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3704400" cy="1818000"/>
            <wp:effectExtent l="1905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57836" w:rsidRDefault="00957836" w:rsidP="00150110">
      <w:pPr>
        <w:pStyle w:val="Uvuenotijeloteksta"/>
        <w:spacing w:line="240" w:lineRule="auto"/>
        <w:ind w:firstLine="0"/>
        <w:jc w:val="center"/>
        <w:rPr>
          <w:sz w:val="20"/>
          <w:szCs w:val="20"/>
        </w:rPr>
      </w:pPr>
      <w:r w:rsidRPr="00F56197">
        <w:rPr>
          <w:sz w:val="20"/>
          <w:szCs w:val="20"/>
        </w:rPr>
        <w:t xml:space="preserve">Graf </w:t>
      </w:r>
      <w:r w:rsidR="00A832B5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D971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Struktura ostvarenih prihoda od </w:t>
      </w:r>
      <w:r w:rsidR="00150110">
        <w:rPr>
          <w:sz w:val="20"/>
          <w:szCs w:val="20"/>
        </w:rPr>
        <w:t xml:space="preserve">ostalih </w:t>
      </w:r>
      <w:proofErr w:type="spellStart"/>
      <w:r w:rsidR="00150110">
        <w:rPr>
          <w:sz w:val="20"/>
          <w:szCs w:val="20"/>
        </w:rPr>
        <w:t>pror.</w:t>
      </w:r>
      <w:r>
        <w:rPr>
          <w:sz w:val="20"/>
          <w:szCs w:val="20"/>
        </w:rPr>
        <w:t>naknada</w:t>
      </w:r>
      <w:proofErr w:type="spellEnd"/>
      <w:r w:rsidR="00D971D4">
        <w:rPr>
          <w:sz w:val="20"/>
          <w:szCs w:val="20"/>
        </w:rPr>
        <w:t xml:space="preserve"> </w:t>
      </w:r>
      <w:r w:rsidRPr="00F56197">
        <w:rPr>
          <w:sz w:val="20"/>
          <w:szCs w:val="20"/>
        </w:rPr>
        <w:t xml:space="preserve">Proračuna </w:t>
      </w:r>
      <w:r w:rsidR="00150110">
        <w:rPr>
          <w:sz w:val="20"/>
          <w:szCs w:val="20"/>
        </w:rPr>
        <w:t>ŽP</w:t>
      </w:r>
      <w:r w:rsidRPr="00F56197">
        <w:rPr>
          <w:sz w:val="20"/>
          <w:szCs w:val="20"/>
        </w:rPr>
        <w:t xml:space="preserve"> u razdoblju 01.01.-</w:t>
      </w:r>
      <w:r w:rsidR="003D7EC4">
        <w:rPr>
          <w:sz w:val="20"/>
          <w:szCs w:val="20"/>
        </w:rPr>
        <w:t>30</w:t>
      </w:r>
      <w:r w:rsidRPr="00F56197">
        <w:rPr>
          <w:sz w:val="20"/>
          <w:szCs w:val="20"/>
        </w:rPr>
        <w:t>.0</w:t>
      </w:r>
      <w:r w:rsidR="009C6AD4">
        <w:rPr>
          <w:sz w:val="20"/>
          <w:szCs w:val="20"/>
        </w:rPr>
        <w:t>9</w:t>
      </w:r>
      <w:r w:rsidRPr="00F56197">
        <w:rPr>
          <w:sz w:val="20"/>
          <w:szCs w:val="20"/>
        </w:rPr>
        <w:t>.20</w:t>
      </w:r>
      <w:r w:rsidR="005E5BE2">
        <w:rPr>
          <w:sz w:val="20"/>
          <w:szCs w:val="20"/>
        </w:rPr>
        <w:t>20</w:t>
      </w:r>
      <w:r w:rsidRPr="00F56197">
        <w:rPr>
          <w:sz w:val="20"/>
          <w:szCs w:val="20"/>
        </w:rPr>
        <w:t>.</w:t>
      </w:r>
      <w:r w:rsidRPr="00FD3224">
        <w:rPr>
          <w:sz w:val="20"/>
          <w:szCs w:val="20"/>
        </w:rPr>
        <w:t xml:space="preserve"> g</w:t>
      </w:r>
      <w:r>
        <w:rPr>
          <w:sz w:val="20"/>
          <w:szCs w:val="20"/>
        </w:rPr>
        <w:t>.</w:t>
      </w:r>
    </w:p>
    <w:p w:rsidR="009D4BD9" w:rsidRDefault="009D4BD9" w:rsidP="009554E4">
      <w:pPr>
        <w:pStyle w:val="Uvuenotijeloteksta"/>
        <w:spacing w:line="240" w:lineRule="auto"/>
        <w:ind w:firstLine="0"/>
      </w:pPr>
    </w:p>
    <w:p w:rsidR="009554E4" w:rsidRPr="0066777D" w:rsidRDefault="009554E4" w:rsidP="009554E4">
      <w:pPr>
        <w:pStyle w:val="Uvuenotijeloteksta"/>
        <w:spacing w:line="240" w:lineRule="auto"/>
        <w:rPr>
          <w:sz w:val="10"/>
          <w:szCs w:val="10"/>
        </w:rPr>
      </w:pPr>
    </w:p>
    <w:p w:rsidR="000068B8" w:rsidRPr="00681EB5" w:rsidRDefault="009554E4" w:rsidP="009554E4">
      <w:pPr>
        <w:pStyle w:val="Uvuenotijeloteksta"/>
        <w:spacing w:line="240" w:lineRule="auto"/>
        <w:ind w:firstLine="0"/>
      </w:pPr>
      <w:r w:rsidRPr="000A683A">
        <w:rPr>
          <w:b/>
          <w:i/>
        </w:rPr>
        <w:t>Naknade i pristojbe po Federalnim zakonima i drugim propisima (glavna skupina 722500)</w:t>
      </w:r>
      <w:r w:rsidRPr="00681EB5">
        <w:t xml:space="preserve"> ostvarene su u visini od </w:t>
      </w:r>
      <w:r w:rsidR="009C6AD4">
        <w:t>744.243</w:t>
      </w:r>
      <w:r w:rsidR="00052135">
        <w:t xml:space="preserve"> </w:t>
      </w:r>
      <w:r w:rsidRPr="00681EB5">
        <w:t xml:space="preserve">KM, odnosno </w:t>
      </w:r>
      <w:r w:rsidR="009C6AD4">
        <w:t>59,32</w:t>
      </w:r>
      <w:r w:rsidR="000068B8" w:rsidRPr="00681EB5">
        <w:t>% u odnosu na ukupni plan</w:t>
      </w:r>
      <w:r w:rsidR="00052135">
        <w:t xml:space="preserve"> ovih prihoda za 20</w:t>
      </w:r>
      <w:r w:rsidR="006D5A57">
        <w:t>20</w:t>
      </w:r>
      <w:r w:rsidR="00052135">
        <w:t>.</w:t>
      </w:r>
      <w:r w:rsidR="004826DC">
        <w:t xml:space="preserve"> </w:t>
      </w:r>
      <w:r w:rsidR="00052135">
        <w:t>godinu</w:t>
      </w:r>
      <w:r w:rsidR="000068B8" w:rsidRPr="00681EB5">
        <w:t>. U odnosu na isto razdoblje fiskalne 201</w:t>
      </w:r>
      <w:r w:rsidR="006D5A57">
        <w:t>9</w:t>
      </w:r>
      <w:r w:rsidR="000068B8" w:rsidRPr="00681EB5">
        <w:t xml:space="preserve">. godine ostvarene naknade i pristojbe po Federalnim zakonima i drugim propisima </w:t>
      </w:r>
      <w:r w:rsidR="006D5A57">
        <w:t>veće</w:t>
      </w:r>
      <w:r w:rsidR="000068B8" w:rsidRPr="00681EB5">
        <w:t xml:space="preserve"> su za </w:t>
      </w:r>
      <w:r w:rsidR="009C6AD4">
        <w:t>11,83</w:t>
      </w:r>
      <w:r w:rsidR="000068B8" w:rsidRPr="00681EB5">
        <w:t xml:space="preserve">%, odnosno u apsolutnom iznosu </w:t>
      </w:r>
      <w:r w:rsidR="006D5A57">
        <w:t>veće</w:t>
      </w:r>
      <w:r w:rsidR="00165F6E">
        <w:t xml:space="preserve"> </w:t>
      </w:r>
      <w:r w:rsidR="000068B8" w:rsidRPr="00681EB5">
        <w:t xml:space="preserve">za </w:t>
      </w:r>
      <w:r w:rsidR="009C6AD4">
        <w:t>78.754</w:t>
      </w:r>
      <w:r w:rsidR="000068B8" w:rsidRPr="00681EB5">
        <w:t xml:space="preserve"> KM. U strukturi naknada i pristojbi po Federalnim zakonima i drugim propisima najveće učešće imaju </w:t>
      </w:r>
      <w:r w:rsidR="006D5A57" w:rsidRPr="00681EB5">
        <w:t xml:space="preserve">vodne naknade (podgrupa 722520) u iznosu od </w:t>
      </w:r>
      <w:r w:rsidR="009C6AD4">
        <w:t>207.486</w:t>
      </w:r>
      <w:r w:rsidR="006D5A57" w:rsidRPr="00681EB5">
        <w:t xml:space="preserve"> KM</w:t>
      </w:r>
      <w:r w:rsidR="006D5A57">
        <w:t>,</w:t>
      </w:r>
      <w:r w:rsidR="006D5A57" w:rsidRPr="00681EB5">
        <w:t xml:space="preserve"> </w:t>
      </w:r>
      <w:r w:rsidR="000068B8" w:rsidRPr="00681EB5">
        <w:t xml:space="preserve">cestovne naknade (podgrupa 722530) u iznosu od </w:t>
      </w:r>
      <w:r w:rsidR="008455D6">
        <w:t>267.445</w:t>
      </w:r>
      <w:r w:rsidR="000068B8" w:rsidRPr="00681EB5">
        <w:t xml:space="preserve"> KM, i naknade za zaštitu okoliša (podgrupa 722550) u iznosu od </w:t>
      </w:r>
      <w:r w:rsidR="008455D6">
        <w:t>152.401</w:t>
      </w:r>
      <w:r w:rsidR="000068B8" w:rsidRPr="00681EB5">
        <w:t xml:space="preserve"> KM. </w:t>
      </w:r>
      <w:r w:rsidR="003D7EC4">
        <w:t xml:space="preserve">U slučaju posebnih naknada za zaštitu od prirodnih i drugih nesreća u izvještajnom razdoblju </w:t>
      </w:r>
      <w:proofErr w:type="spellStart"/>
      <w:r w:rsidR="003D7EC4">
        <w:t>oprihodovano</w:t>
      </w:r>
      <w:proofErr w:type="spellEnd"/>
      <w:r w:rsidR="003D7EC4">
        <w:t xml:space="preserve"> je s razgraničenja 60.000 KM radi potrošnje u okviru Granta za zaštitu od prirodnih i drugih nesreća, što znači da je stvarna realizacija ukupnih naknada i pristojba po Federalnim zakonima i drugim propisima u razdoblju siječanj-</w:t>
      </w:r>
      <w:r w:rsidR="008455D6">
        <w:t>rujan</w:t>
      </w:r>
      <w:r w:rsidR="003D7EC4">
        <w:t xml:space="preserve"> 2020. godine iznosila </w:t>
      </w:r>
      <w:r w:rsidR="008455D6">
        <w:t>49.324</w:t>
      </w:r>
      <w:r w:rsidR="003D7EC4">
        <w:t xml:space="preserve"> KM. </w:t>
      </w:r>
      <w:r w:rsidR="000068B8" w:rsidRPr="00681EB5">
        <w:t>Ova skupina neporeznih prihoda predstavlja namjenske prihode, te osim navedenih uključuju još i naknade i pristojbe za veterinarske i sanitarne preglede životinja i biljaka</w:t>
      </w:r>
      <w:r w:rsidR="00FB2172" w:rsidRPr="00681EB5">
        <w:t>, zaostale obveze po osnovi naknada za korištenje šuma te posebne naknade za zaštitu od prirodnih i drugih nesreća.</w:t>
      </w:r>
    </w:p>
    <w:p w:rsidR="000068B8" w:rsidRPr="00283491" w:rsidRDefault="000068B8" w:rsidP="009554E4">
      <w:pPr>
        <w:pStyle w:val="Uvuenotijeloteksta"/>
        <w:spacing w:line="240" w:lineRule="auto"/>
        <w:ind w:firstLine="0"/>
      </w:pPr>
    </w:p>
    <w:p w:rsidR="00D52D0E" w:rsidRDefault="00D52D0E" w:rsidP="00D52D0E">
      <w:pPr>
        <w:pStyle w:val="Uvuenotijeloteksta"/>
        <w:spacing w:line="240" w:lineRule="auto"/>
        <w:ind w:firstLine="0"/>
      </w:pPr>
      <w:r>
        <w:t>Slijedi tablični i grafički prikaz strukture ostvarenih prihoda po osnovi naknada i pristojbi po Federalnim zakonima i drugim propisima.</w:t>
      </w:r>
    </w:p>
    <w:p w:rsidR="00D52D0E" w:rsidRPr="00283491" w:rsidRDefault="00D52D0E" w:rsidP="00D52D0E">
      <w:pPr>
        <w:pStyle w:val="Uvuenotijeloteksta"/>
        <w:spacing w:line="240" w:lineRule="auto"/>
        <w:ind w:firstLine="0"/>
      </w:pPr>
    </w:p>
    <w:p w:rsidR="00D52D0E" w:rsidRDefault="00D52D0E" w:rsidP="00D52D0E">
      <w:pPr>
        <w:jc w:val="both"/>
        <w:rPr>
          <w:sz w:val="20"/>
          <w:szCs w:val="20"/>
        </w:rPr>
      </w:pPr>
      <w:r w:rsidRPr="00A832B5">
        <w:rPr>
          <w:sz w:val="20"/>
          <w:szCs w:val="20"/>
        </w:rPr>
        <w:t xml:space="preserve">Tablica </w:t>
      </w:r>
      <w:r w:rsidR="00A832B5">
        <w:rPr>
          <w:sz w:val="20"/>
          <w:szCs w:val="20"/>
        </w:rPr>
        <w:t>7</w:t>
      </w:r>
      <w:r w:rsidRPr="00FD3224">
        <w:rPr>
          <w:sz w:val="20"/>
          <w:szCs w:val="20"/>
        </w:rPr>
        <w:t xml:space="preserve">. Struktura ostvarenih </w:t>
      </w:r>
      <w:r>
        <w:rPr>
          <w:sz w:val="20"/>
          <w:szCs w:val="20"/>
        </w:rPr>
        <w:t xml:space="preserve">prihoda po osnovi naknada i pristojbi po Federalnim zakonima i drugim propisima </w:t>
      </w:r>
      <w:r w:rsidRPr="00FD3224">
        <w:rPr>
          <w:sz w:val="20"/>
          <w:szCs w:val="20"/>
        </w:rPr>
        <w:t xml:space="preserve">Proračuna </w:t>
      </w:r>
      <w:proofErr w:type="spellStart"/>
      <w:r w:rsidRPr="00FD3224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FD3224">
        <w:rPr>
          <w:sz w:val="20"/>
          <w:szCs w:val="20"/>
        </w:rPr>
        <w:t>Posavske</w:t>
      </w:r>
      <w:proofErr w:type="spellEnd"/>
      <w:r w:rsidRPr="00FD3224">
        <w:rPr>
          <w:sz w:val="20"/>
          <w:szCs w:val="20"/>
        </w:rPr>
        <w:t xml:space="preserve"> u razdoblju 01.01.-</w:t>
      </w:r>
      <w:r w:rsidR="003D7EC4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8455D6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6D5A57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p w:rsidR="00283491" w:rsidRPr="00FD3224" w:rsidRDefault="00283491" w:rsidP="00D52D0E">
      <w:pPr>
        <w:jc w:val="both"/>
        <w:rPr>
          <w:sz w:val="20"/>
          <w:szCs w:val="20"/>
        </w:rPr>
      </w:pPr>
    </w:p>
    <w:tbl>
      <w:tblPr>
        <w:tblStyle w:val="Srednjipopis21"/>
        <w:tblW w:w="0" w:type="auto"/>
        <w:tblLook w:val="04A0"/>
      </w:tblPr>
      <w:tblGrid>
        <w:gridCol w:w="5637"/>
        <w:gridCol w:w="2409"/>
        <w:gridCol w:w="1242"/>
      </w:tblGrid>
      <w:tr w:rsidR="00D52D0E" w:rsidRPr="00A15A60" w:rsidTr="00D52D0E">
        <w:trPr>
          <w:cnfStyle w:val="100000000000"/>
        </w:trPr>
        <w:tc>
          <w:tcPr>
            <w:cnfStyle w:val="001000000100"/>
            <w:tcW w:w="5637" w:type="dxa"/>
            <w:vAlign w:val="center"/>
          </w:tcPr>
          <w:p w:rsidR="00D52D0E" w:rsidRPr="00A15A60" w:rsidRDefault="00D52D0E" w:rsidP="00D52D0E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2409" w:type="dxa"/>
          </w:tcPr>
          <w:p w:rsidR="00D52D0E" w:rsidRPr="00A15A60" w:rsidRDefault="00D52D0E" w:rsidP="00D52D0E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D52D0E" w:rsidRDefault="00D52D0E" w:rsidP="00D52D0E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3D7EC4">
              <w:rPr>
                <w:b/>
                <w:sz w:val="22"/>
              </w:rPr>
              <w:t>30</w:t>
            </w:r>
            <w:r w:rsidRPr="00A15A60">
              <w:rPr>
                <w:b/>
                <w:sz w:val="22"/>
              </w:rPr>
              <w:t>.0</w:t>
            </w:r>
            <w:r w:rsidR="008455D6">
              <w:rPr>
                <w:b/>
                <w:sz w:val="22"/>
              </w:rPr>
              <w:t>9</w:t>
            </w:r>
            <w:r w:rsidRPr="00A15A60">
              <w:rPr>
                <w:b/>
                <w:sz w:val="22"/>
              </w:rPr>
              <w:t>.20</w:t>
            </w:r>
            <w:r w:rsidR="006D5A57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 xml:space="preserve">.g. </w:t>
            </w:r>
          </w:p>
          <w:p w:rsidR="00D52D0E" w:rsidRPr="00A15A60" w:rsidRDefault="00D52D0E" w:rsidP="00D52D0E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(u KM)</w:t>
            </w:r>
          </w:p>
        </w:tc>
        <w:tc>
          <w:tcPr>
            <w:tcW w:w="1242" w:type="dxa"/>
          </w:tcPr>
          <w:p w:rsidR="00D52D0E" w:rsidRPr="00A15A60" w:rsidRDefault="00D52D0E" w:rsidP="00D52D0E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D52D0E" w:rsidRPr="00A15A60" w:rsidRDefault="00D52D0E" w:rsidP="00D52D0E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D52D0E" w:rsidRPr="00A15A60" w:rsidTr="00D52D0E">
        <w:trPr>
          <w:cnfStyle w:val="000000100000"/>
        </w:trPr>
        <w:tc>
          <w:tcPr>
            <w:cnfStyle w:val="001000000000"/>
            <w:tcW w:w="5637" w:type="dxa"/>
          </w:tcPr>
          <w:p w:rsidR="00D52D0E" w:rsidRPr="00A15A60" w:rsidRDefault="00D52D0E" w:rsidP="00D52D0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Nak.i</w:t>
            </w:r>
            <w:proofErr w:type="spellEnd"/>
            <w:r>
              <w:rPr>
                <w:sz w:val="22"/>
              </w:rPr>
              <w:t xml:space="preserve"> pristojbe za </w:t>
            </w:r>
            <w:proofErr w:type="spellStart"/>
            <w:r>
              <w:rPr>
                <w:sz w:val="22"/>
              </w:rPr>
              <w:t>vet.i</w:t>
            </w:r>
            <w:proofErr w:type="spellEnd"/>
            <w:r>
              <w:rPr>
                <w:sz w:val="22"/>
              </w:rPr>
              <w:t xml:space="preserve"> sanitarne preglede životinja i biljaka</w:t>
            </w:r>
          </w:p>
        </w:tc>
        <w:tc>
          <w:tcPr>
            <w:tcW w:w="2409" w:type="dxa"/>
            <w:vAlign w:val="center"/>
          </w:tcPr>
          <w:p w:rsidR="00D52D0E" w:rsidRPr="00A15A60" w:rsidRDefault="008455D6" w:rsidP="00D52D0E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7.405</w:t>
            </w:r>
          </w:p>
        </w:tc>
        <w:tc>
          <w:tcPr>
            <w:tcW w:w="1242" w:type="dxa"/>
            <w:vAlign w:val="center"/>
          </w:tcPr>
          <w:p w:rsidR="00D52D0E" w:rsidRPr="00A15A60" w:rsidRDefault="008455D6" w:rsidP="0086192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0,99</w:t>
            </w:r>
          </w:p>
        </w:tc>
      </w:tr>
      <w:tr w:rsidR="00D52D0E" w:rsidRPr="00A15A60" w:rsidTr="00D52D0E">
        <w:tc>
          <w:tcPr>
            <w:cnfStyle w:val="001000000000"/>
            <w:tcW w:w="5637" w:type="dxa"/>
          </w:tcPr>
          <w:p w:rsidR="00D52D0E" w:rsidRPr="00A15A60" w:rsidRDefault="00D52D0E" w:rsidP="00D52D0E">
            <w:pPr>
              <w:jc w:val="both"/>
              <w:rPr>
                <w:sz w:val="22"/>
              </w:rPr>
            </w:pPr>
            <w:r>
              <w:rPr>
                <w:sz w:val="22"/>
              </w:rPr>
              <w:t>Vodne naknade</w:t>
            </w:r>
          </w:p>
        </w:tc>
        <w:tc>
          <w:tcPr>
            <w:tcW w:w="2409" w:type="dxa"/>
            <w:vAlign w:val="center"/>
          </w:tcPr>
          <w:p w:rsidR="00D52D0E" w:rsidRPr="00A15A60" w:rsidRDefault="008455D6" w:rsidP="00D52D0E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207.486</w:t>
            </w:r>
          </w:p>
        </w:tc>
        <w:tc>
          <w:tcPr>
            <w:tcW w:w="1242" w:type="dxa"/>
            <w:vAlign w:val="center"/>
          </w:tcPr>
          <w:p w:rsidR="00D52D0E" w:rsidRPr="00A15A60" w:rsidRDefault="008455D6" w:rsidP="00D52D0E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27,88</w:t>
            </w:r>
          </w:p>
        </w:tc>
      </w:tr>
      <w:tr w:rsidR="00D52D0E" w:rsidRPr="00A15A60" w:rsidTr="00D52D0E">
        <w:trPr>
          <w:cnfStyle w:val="000000100000"/>
        </w:trPr>
        <w:tc>
          <w:tcPr>
            <w:cnfStyle w:val="001000000000"/>
            <w:tcW w:w="5637" w:type="dxa"/>
          </w:tcPr>
          <w:p w:rsidR="00D52D0E" w:rsidRPr="00A15A60" w:rsidRDefault="00D52D0E" w:rsidP="00D52D0E">
            <w:pPr>
              <w:jc w:val="both"/>
              <w:rPr>
                <w:sz w:val="22"/>
              </w:rPr>
            </w:pPr>
            <w:r>
              <w:rPr>
                <w:sz w:val="22"/>
              </w:rPr>
              <w:t>Cestovna naknade</w:t>
            </w:r>
          </w:p>
        </w:tc>
        <w:tc>
          <w:tcPr>
            <w:tcW w:w="2409" w:type="dxa"/>
            <w:vAlign w:val="center"/>
          </w:tcPr>
          <w:p w:rsidR="00D52D0E" w:rsidRPr="00A15A60" w:rsidRDefault="008455D6" w:rsidP="00D52D0E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267.445</w:t>
            </w:r>
          </w:p>
        </w:tc>
        <w:tc>
          <w:tcPr>
            <w:tcW w:w="1242" w:type="dxa"/>
            <w:vAlign w:val="center"/>
          </w:tcPr>
          <w:p w:rsidR="00D52D0E" w:rsidRPr="00A15A60" w:rsidRDefault="008455D6" w:rsidP="0086192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35,94</w:t>
            </w:r>
          </w:p>
        </w:tc>
      </w:tr>
      <w:tr w:rsidR="00D52D0E" w:rsidRPr="00A15A60" w:rsidTr="00D52D0E">
        <w:tc>
          <w:tcPr>
            <w:cnfStyle w:val="001000000000"/>
            <w:tcW w:w="5637" w:type="dxa"/>
          </w:tcPr>
          <w:p w:rsidR="00D52D0E" w:rsidRDefault="00D52D0E" w:rsidP="00D52D0E">
            <w:pPr>
              <w:jc w:val="both"/>
              <w:rPr>
                <w:sz w:val="22"/>
              </w:rPr>
            </w:pPr>
            <w:r>
              <w:rPr>
                <w:sz w:val="22"/>
              </w:rPr>
              <w:t>Zaostale obveze po osnovi naknada za korištenje šuma</w:t>
            </w:r>
          </w:p>
        </w:tc>
        <w:tc>
          <w:tcPr>
            <w:tcW w:w="2409" w:type="dxa"/>
            <w:vAlign w:val="center"/>
          </w:tcPr>
          <w:p w:rsidR="00D52D0E" w:rsidRDefault="008455D6" w:rsidP="00D52D0E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242" w:type="dxa"/>
            <w:vAlign w:val="center"/>
          </w:tcPr>
          <w:p w:rsidR="00D52D0E" w:rsidRPr="00A15A60" w:rsidRDefault="008455D6" w:rsidP="00D52D0E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</w:tr>
      <w:tr w:rsidR="00D52D0E" w:rsidRPr="00A15A60" w:rsidTr="00D52D0E">
        <w:trPr>
          <w:cnfStyle w:val="000000100000"/>
        </w:trPr>
        <w:tc>
          <w:tcPr>
            <w:cnfStyle w:val="001000000000"/>
            <w:tcW w:w="5637" w:type="dxa"/>
          </w:tcPr>
          <w:p w:rsidR="00D52D0E" w:rsidRDefault="00D52D0E" w:rsidP="00D52D0E">
            <w:pPr>
              <w:jc w:val="both"/>
              <w:rPr>
                <w:sz w:val="22"/>
              </w:rPr>
            </w:pPr>
            <w:r>
              <w:rPr>
                <w:sz w:val="22"/>
              </w:rPr>
              <w:t>Naknada za zaštitu okoliša</w:t>
            </w:r>
          </w:p>
        </w:tc>
        <w:tc>
          <w:tcPr>
            <w:tcW w:w="2409" w:type="dxa"/>
            <w:vAlign w:val="center"/>
          </w:tcPr>
          <w:p w:rsidR="00D52D0E" w:rsidRDefault="008455D6" w:rsidP="00D52D0E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152.401</w:t>
            </w:r>
          </w:p>
        </w:tc>
        <w:tc>
          <w:tcPr>
            <w:tcW w:w="1242" w:type="dxa"/>
            <w:vAlign w:val="center"/>
          </w:tcPr>
          <w:p w:rsidR="00D52D0E" w:rsidRPr="00A15A60" w:rsidRDefault="008455D6" w:rsidP="00D52D0E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20,48</w:t>
            </w:r>
          </w:p>
        </w:tc>
      </w:tr>
      <w:tr w:rsidR="00D52D0E" w:rsidRPr="00A15A60" w:rsidTr="00D52D0E">
        <w:tc>
          <w:tcPr>
            <w:cnfStyle w:val="001000000000"/>
            <w:tcW w:w="5637" w:type="dxa"/>
          </w:tcPr>
          <w:p w:rsidR="00D52D0E" w:rsidRDefault="00D52D0E" w:rsidP="00D52D0E">
            <w:pPr>
              <w:jc w:val="both"/>
              <w:rPr>
                <w:sz w:val="22"/>
              </w:rPr>
            </w:pPr>
            <w:r>
              <w:rPr>
                <w:sz w:val="22"/>
              </w:rPr>
              <w:t>Posebne naknade za zaštitu od prirodnih i drugih nesreća</w:t>
            </w:r>
          </w:p>
        </w:tc>
        <w:tc>
          <w:tcPr>
            <w:tcW w:w="2409" w:type="dxa"/>
            <w:vAlign w:val="center"/>
          </w:tcPr>
          <w:p w:rsidR="00D52D0E" w:rsidRDefault="008455D6" w:rsidP="00D52D0E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109.324</w:t>
            </w:r>
          </w:p>
        </w:tc>
        <w:tc>
          <w:tcPr>
            <w:tcW w:w="1242" w:type="dxa"/>
            <w:vAlign w:val="center"/>
          </w:tcPr>
          <w:p w:rsidR="00D52D0E" w:rsidRPr="00A15A60" w:rsidRDefault="008455D6" w:rsidP="00D52D0E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14,96</w:t>
            </w:r>
          </w:p>
        </w:tc>
      </w:tr>
      <w:tr w:rsidR="003D7EC4" w:rsidRPr="003D7EC4" w:rsidTr="00D52D0E">
        <w:trPr>
          <w:cnfStyle w:val="000000100000"/>
        </w:trPr>
        <w:tc>
          <w:tcPr>
            <w:cnfStyle w:val="001000000000"/>
            <w:tcW w:w="5637" w:type="dxa"/>
          </w:tcPr>
          <w:p w:rsidR="003D7EC4" w:rsidRPr="003D7EC4" w:rsidRDefault="003D7EC4" w:rsidP="00D52D0E">
            <w:pPr>
              <w:jc w:val="both"/>
              <w:rPr>
                <w:i/>
                <w:sz w:val="22"/>
              </w:rPr>
            </w:pPr>
            <w:r w:rsidRPr="003D7EC4">
              <w:rPr>
                <w:i/>
                <w:sz w:val="22"/>
              </w:rPr>
              <w:t xml:space="preserve">   *o/t prihodovano s razgraničenja</w:t>
            </w:r>
          </w:p>
        </w:tc>
        <w:tc>
          <w:tcPr>
            <w:tcW w:w="2409" w:type="dxa"/>
            <w:vAlign w:val="center"/>
          </w:tcPr>
          <w:p w:rsidR="003D7EC4" w:rsidRPr="003D7EC4" w:rsidRDefault="008455D6" w:rsidP="00D52D0E">
            <w:pPr>
              <w:ind w:right="743"/>
              <w:jc w:val="right"/>
              <w:cnfStyle w:val="000000100000"/>
              <w:rPr>
                <w:i/>
                <w:sz w:val="22"/>
              </w:rPr>
            </w:pPr>
            <w:r>
              <w:rPr>
                <w:i/>
                <w:sz w:val="22"/>
              </w:rPr>
              <w:t>60.000</w:t>
            </w:r>
          </w:p>
        </w:tc>
        <w:tc>
          <w:tcPr>
            <w:tcW w:w="1242" w:type="dxa"/>
            <w:vAlign w:val="center"/>
          </w:tcPr>
          <w:p w:rsidR="003D7EC4" w:rsidRPr="003D7EC4" w:rsidRDefault="003D7EC4" w:rsidP="00D52D0E">
            <w:pPr>
              <w:ind w:right="283"/>
              <w:jc w:val="right"/>
              <w:cnfStyle w:val="000000100000"/>
              <w:rPr>
                <w:i/>
                <w:sz w:val="22"/>
              </w:rPr>
            </w:pPr>
          </w:p>
        </w:tc>
      </w:tr>
      <w:tr w:rsidR="00D52D0E" w:rsidRPr="00A15A60" w:rsidTr="00D52D0E">
        <w:tc>
          <w:tcPr>
            <w:cnfStyle w:val="001000000000"/>
            <w:tcW w:w="5637" w:type="dxa"/>
          </w:tcPr>
          <w:p w:rsidR="00D52D0E" w:rsidRPr="00A15A60" w:rsidRDefault="00D52D0E" w:rsidP="00D52D0E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2409" w:type="dxa"/>
            <w:vAlign w:val="center"/>
          </w:tcPr>
          <w:p w:rsidR="00D52D0E" w:rsidRPr="00A15A60" w:rsidRDefault="002B4957" w:rsidP="00D52D0E">
            <w:pPr>
              <w:ind w:right="74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8455D6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8455D6">
              <w:rPr>
                <w:b/>
                <w:noProof/>
                <w:sz w:val="22"/>
              </w:rPr>
              <w:t>744.243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D52D0E" w:rsidRPr="00A15A60" w:rsidRDefault="008455D6" w:rsidP="00D52D0E">
            <w:pPr>
              <w:ind w:right="28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</w:tbl>
    <w:p w:rsidR="00D52D0E" w:rsidRDefault="00D52D0E" w:rsidP="00D52D0E">
      <w:pPr>
        <w:pStyle w:val="Uvuenotijeloteksta"/>
        <w:spacing w:line="240" w:lineRule="auto"/>
        <w:ind w:firstLine="0"/>
        <w:jc w:val="center"/>
        <w:rPr>
          <w:sz w:val="20"/>
          <w:szCs w:val="20"/>
        </w:rPr>
      </w:pPr>
    </w:p>
    <w:p w:rsidR="00D52D0E" w:rsidRDefault="00D52D0E" w:rsidP="00D52D0E">
      <w:pPr>
        <w:pStyle w:val="Uvuenotijeloteksta"/>
        <w:spacing w:line="240" w:lineRule="auto"/>
        <w:ind w:firstLine="0"/>
        <w:jc w:val="center"/>
        <w:rPr>
          <w:sz w:val="20"/>
          <w:szCs w:val="20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3704400" cy="1818000"/>
            <wp:effectExtent l="1905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52D0E" w:rsidRDefault="00D52D0E" w:rsidP="00D52D0E">
      <w:pPr>
        <w:pStyle w:val="Uvuenotijeloteksta"/>
        <w:spacing w:line="240" w:lineRule="auto"/>
        <w:ind w:firstLine="0"/>
        <w:jc w:val="center"/>
        <w:rPr>
          <w:sz w:val="20"/>
          <w:szCs w:val="20"/>
        </w:rPr>
      </w:pPr>
      <w:r w:rsidRPr="00F56197">
        <w:rPr>
          <w:sz w:val="20"/>
          <w:szCs w:val="20"/>
        </w:rPr>
        <w:t xml:space="preserve">Graf </w:t>
      </w:r>
      <w:r w:rsidR="00A832B5">
        <w:rPr>
          <w:sz w:val="20"/>
          <w:szCs w:val="20"/>
        </w:rPr>
        <w:t>8.</w:t>
      </w:r>
      <w:r>
        <w:rPr>
          <w:sz w:val="20"/>
          <w:szCs w:val="20"/>
        </w:rPr>
        <w:t xml:space="preserve">Struktura ostvarenih prihoda </w:t>
      </w:r>
      <w:r w:rsidR="0066777D">
        <w:rPr>
          <w:sz w:val="20"/>
          <w:szCs w:val="20"/>
        </w:rPr>
        <w:t xml:space="preserve">po osnovi naknada i pristojbi po </w:t>
      </w:r>
      <w:proofErr w:type="spellStart"/>
      <w:r w:rsidR="0066777D">
        <w:rPr>
          <w:sz w:val="20"/>
          <w:szCs w:val="20"/>
        </w:rPr>
        <w:t>Fed.zakonima</w:t>
      </w:r>
      <w:proofErr w:type="spellEnd"/>
      <w:r w:rsidR="0066777D">
        <w:rPr>
          <w:sz w:val="20"/>
          <w:szCs w:val="20"/>
        </w:rPr>
        <w:t xml:space="preserve"> i </w:t>
      </w:r>
      <w:proofErr w:type="spellStart"/>
      <w:r w:rsidR="0066777D">
        <w:rPr>
          <w:sz w:val="20"/>
          <w:szCs w:val="20"/>
        </w:rPr>
        <w:t>dr.propisima</w:t>
      </w:r>
      <w:proofErr w:type="spellEnd"/>
      <w:r w:rsidR="00052135">
        <w:rPr>
          <w:sz w:val="20"/>
          <w:szCs w:val="20"/>
        </w:rPr>
        <w:t xml:space="preserve"> </w:t>
      </w:r>
      <w:r w:rsidRPr="00F56197">
        <w:rPr>
          <w:sz w:val="20"/>
          <w:szCs w:val="20"/>
        </w:rPr>
        <w:t xml:space="preserve">Proračuna </w:t>
      </w:r>
      <w:r>
        <w:rPr>
          <w:sz w:val="20"/>
          <w:szCs w:val="20"/>
        </w:rPr>
        <w:t>ŽP</w:t>
      </w:r>
      <w:r w:rsidRPr="00F56197">
        <w:rPr>
          <w:sz w:val="20"/>
          <w:szCs w:val="20"/>
        </w:rPr>
        <w:t xml:space="preserve"> u razdoblju 01.01.-</w:t>
      </w:r>
      <w:r w:rsidR="003D7EC4">
        <w:rPr>
          <w:sz w:val="20"/>
          <w:szCs w:val="20"/>
        </w:rPr>
        <w:t>30</w:t>
      </w:r>
      <w:r w:rsidRPr="00F56197">
        <w:rPr>
          <w:sz w:val="20"/>
          <w:szCs w:val="20"/>
        </w:rPr>
        <w:t>.0</w:t>
      </w:r>
      <w:r w:rsidR="008455D6">
        <w:rPr>
          <w:sz w:val="20"/>
          <w:szCs w:val="20"/>
        </w:rPr>
        <w:t>9</w:t>
      </w:r>
      <w:r w:rsidRPr="00F56197">
        <w:rPr>
          <w:sz w:val="20"/>
          <w:szCs w:val="20"/>
        </w:rPr>
        <w:t>.20</w:t>
      </w:r>
      <w:r w:rsidR="006D5A57">
        <w:rPr>
          <w:sz w:val="20"/>
          <w:szCs w:val="20"/>
        </w:rPr>
        <w:t>20</w:t>
      </w:r>
      <w:r w:rsidRPr="00F56197">
        <w:rPr>
          <w:sz w:val="20"/>
          <w:szCs w:val="20"/>
        </w:rPr>
        <w:t>.</w:t>
      </w:r>
      <w:r w:rsidRPr="00FD3224">
        <w:rPr>
          <w:sz w:val="20"/>
          <w:szCs w:val="20"/>
        </w:rPr>
        <w:t xml:space="preserve"> g</w:t>
      </w:r>
      <w:r>
        <w:rPr>
          <w:sz w:val="20"/>
          <w:szCs w:val="20"/>
        </w:rPr>
        <w:t>.</w:t>
      </w:r>
    </w:p>
    <w:p w:rsidR="003D7EC4" w:rsidRDefault="003D7EC4" w:rsidP="009554E4">
      <w:pPr>
        <w:pStyle w:val="Uvuenotijeloteksta"/>
        <w:spacing w:line="240" w:lineRule="auto"/>
        <w:ind w:firstLine="0"/>
        <w:rPr>
          <w:b/>
          <w:i/>
        </w:rPr>
      </w:pPr>
    </w:p>
    <w:p w:rsidR="0066777D" w:rsidRDefault="009554E4" w:rsidP="009554E4">
      <w:pPr>
        <w:pStyle w:val="Uvuenotijeloteksta"/>
        <w:spacing w:line="240" w:lineRule="auto"/>
        <w:ind w:firstLine="0"/>
      </w:pPr>
      <w:r w:rsidRPr="000A683A">
        <w:rPr>
          <w:b/>
          <w:i/>
        </w:rPr>
        <w:t xml:space="preserve">Prihodi od pružanja javnih usluga </w:t>
      </w:r>
      <w:r w:rsidR="0066777D" w:rsidRPr="000A683A">
        <w:rPr>
          <w:b/>
          <w:i/>
        </w:rPr>
        <w:t>(glavna skupina 722600)</w:t>
      </w:r>
      <w:r w:rsidR="0066777D">
        <w:t xml:space="preserve"> ostvareni su u iznosu od </w:t>
      </w:r>
      <w:r w:rsidR="008455D6">
        <w:t>235.681</w:t>
      </w:r>
      <w:r w:rsidR="0066777D">
        <w:t xml:space="preserve"> KM, odnosno </w:t>
      </w:r>
      <w:r w:rsidR="008455D6">
        <w:t>107,83</w:t>
      </w:r>
      <w:r w:rsidR="0066777D">
        <w:t xml:space="preserve">% od ukupno planiranog po ovoj osnovi, pri čemu je najznačajniji prihod ostvaren po osnovi </w:t>
      </w:r>
      <w:r w:rsidR="006D5A57">
        <w:t xml:space="preserve">prihoda od pružanja usluga drugim razinama vlasti (analitički konto 722621) u iznosu od </w:t>
      </w:r>
      <w:r w:rsidR="008455D6">
        <w:t>105.366</w:t>
      </w:r>
      <w:r w:rsidR="006D5A57">
        <w:t xml:space="preserve"> KM, i </w:t>
      </w:r>
      <w:r w:rsidR="000F0D48">
        <w:t xml:space="preserve">prihoda od pružanja usluga građanima (analitički konto 722611) u iznosu od </w:t>
      </w:r>
      <w:r w:rsidR="008455D6">
        <w:t>62.399</w:t>
      </w:r>
      <w:r w:rsidR="006D5A57">
        <w:t xml:space="preserve"> KM</w:t>
      </w:r>
      <w:r w:rsidR="00052135">
        <w:t>.</w:t>
      </w:r>
      <w:r w:rsidR="0066777D">
        <w:t xml:space="preserve"> U odnosu na planirano u razdoblju siječanj-</w:t>
      </w:r>
      <w:r w:rsidR="008455D6">
        <w:t>rujan</w:t>
      </w:r>
      <w:r w:rsidR="0066777D">
        <w:t xml:space="preserve"> 20</w:t>
      </w:r>
      <w:r w:rsidR="006D5A57">
        <w:t>20</w:t>
      </w:r>
      <w:r w:rsidR="0066777D">
        <w:t xml:space="preserve">. godine ostvarenje je </w:t>
      </w:r>
      <w:r w:rsidR="006B5233">
        <w:t>veće</w:t>
      </w:r>
      <w:r w:rsidR="0066777D">
        <w:t xml:space="preserve"> za </w:t>
      </w:r>
      <w:r w:rsidR="008455D6">
        <w:t>43,78</w:t>
      </w:r>
      <w:r w:rsidR="0066777D">
        <w:t>%</w:t>
      </w:r>
      <w:r w:rsidR="009433F4">
        <w:t>,</w:t>
      </w:r>
      <w:r w:rsidR="0066777D">
        <w:t xml:space="preserve"> odnosno u apsolutnom iznosu </w:t>
      </w:r>
      <w:r w:rsidR="006B5233">
        <w:t>veće</w:t>
      </w:r>
      <w:r w:rsidR="0066777D">
        <w:t xml:space="preserve"> za </w:t>
      </w:r>
      <w:r w:rsidR="008455D6">
        <w:t>71.761</w:t>
      </w:r>
      <w:r w:rsidR="0066777D">
        <w:t xml:space="preserve"> KM. </w:t>
      </w:r>
      <w:r w:rsidR="00F52A28">
        <w:t>U</w:t>
      </w:r>
      <w:r w:rsidR="0066777D">
        <w:t xml:space="preserve"> odnosu na ostvarenje u istom razdoblju prethodne godine </w:t>
      </w:r>
      <w:r w:rsidR="00F52A28">
        <w:t>uočava</w:t>
      </w:r>
      <w:r w:rsidR="008455D6">
        <w:t xml:space="preserve"> se</w:t>
      </w:r>
      <w:r w:rsidR="00F52A28">
        <w:t xml:space="preserve"> </w:t>
      </w:r>
      <w:r w:rsidR="00205DA8">
        <w:t>smanjenje</w:t>
      </w:r>
      <w:r w:rsidR="00F52A28">
        <w:t xml:space="preserve"> </w:t>
      </w:r>
      <w:r w:rsidR="0066777D">
        <w:t xml:space="preserve">i to za </w:t>
      </w:r>
      <w:r w:rsidR="008455D6">
        <w:t>24,21</w:t>
      </w:r>
      <w:r w:rsidR="0066777D">
        <w:t>%</w:t>
      </w:r>
      <w:r w:rsidR="009433F4">
        <w:t>,</w:t>
      </w:r>
      <w:r w:rsidR="0066777D">
        <w:t xml:space="preserve"> odnosno </w:t>
      </w:r>
      <w:r w:rsidR="000D5396">
        <w:t xml:space="preserve">u apsolutnom iznosu </w:t>
      </w:r>
      <w:r w:rsidR="00205DA8">
        <w:t>smanjenje</w:t>
      </w:r>
      <w:r w:rsidR="000D5396">
        <w:t xml:space="preserve"> </w:t>
      </w:r>
      <w:r w:rsidR="0066777D">
        <w:t xml:space="preserve">za </w:t>
      </w:r>
      <w:r w:rsidR="008455D6">
        <w:t>75.291</w:t>
      </w:r>
      <w:r w:rsidR="0066777D">
        <w:t xml:space="preserve"> KM.</w:t>
      </w:r>
    </w:p>
    <w:p w:rsidR="0066777D" w:rsidRDefault="0066777D" w:rsidP="009554E4">
      <w:pPr>
        <w:pStyle w:val="Uvuenotijeloteksta"/>
        <w:spacing w:line="240" w:lineRule="auto"/>
        <w:ind w:firstLine="0"/>
      </w:pPr>
    </w:p>
    <w:p w:rsidR="009554E4" w:rsidRDefault="0066777D" w:rsidP="009554E4">
      <w:pPr>
        <w:pStyle w:val="Uvuenotijeloteksta"/>
        <w:spacing w:line="240" w:lineRule="auto"/>
        <w:ind w:firstLine="0"/>
      </w:pPr>
      <w:r w:rsidRPr="000A683A">
        <w:rPr>
          <w:b/>
          <w:i/>
        </w:rPr>
        <w:t>N</w:t>
      </w:r>
      <w:r w:rsidR="009554E4" w:rsidRPr="000A683A">
        <w:rPr>
          <w:b/>
          <w:i/>
        </w:rPr>
        <w:t>eplanirane uplate – prihodi (glavn</w:t>
      </w:r>
      <w:r w:rsidRPr="000A683A">
        <w:rPr>
          <w:b/>
          <w:i/>
        </w:rPr>
        <w:t>a</w:t>
      </w:r>
      <w:r w:rsidR="009554E4" w:rsidRPr="000A683A">
        <w:rPr>
          <w:b/>
          <w:i/>
        </w:rPr>
        <w:t xml:space="preserve"> skupin</w:t>
      </w:r>
      <w:r w:rsidRPr="000A683A">
        <w:rPr>
          <w:b/>
          <w:i/>
        </w:rPr>
        <w:t>a</w:t>
      </w:r>
      <w:r w:rsidR="009554E4" w:rsidRPr="000A683A">
        <w:rPr>
          <w:b/>
          <w:i/>
        </w:rPr>
        <w:t xml:space="preserve"> 722700) </w:t>
      </w:r>
      <w:r w:rsidR="009554E4">
        <w:t xml:space="preserve">ostvareni su u iznosu od </w:t>
      </w:r>
      <w:r w:rsidR="008455D6">
        <w:t>45.348</w:t>
      </w:r>
      <w:r w:rsidR="009554E4">
        <w:t xml:space="preserve"> KM, </w:t>
      </w:r>
      <w:r w:rsidR="00205DA8">
        <w:t xml:space="preserve">što je </w:t>
      </w:r>
      <w:r w:rsidR="008455D6">
        <w:t>136,38</w:t>
      </w:r>
      <w:r w:rsidR="006D5A57">
        <w:t>%</w:t>
      </w:r>
      <w:r w:rsidR="009554E4">
        <w:t xml:space="preserve"> ukupno planiranog po ovoj osnovi, </w:t>
      </w:r>
      <w:r w:rsidR="00895DB1">
        <w:t>i</w:t>
      </w:r>
      <w:r w:rsidR="009116BC">
        <w:t xml:space="preserve"> </w:t>
      </w:r>
      <w:r w:rsidR="006B5233">
        <w:t xml:space="preserve">najvećim dijelom se </w:t>
      </w:r>
      <w:r w:rsidR="009116BC">
        <w:t xml:space="preserve">odnosi </w:t>
      </w:r>
      <w:r w:rsidR="006B5233">
        <w:t>na</w:t>
      </w:r>
      <w:r w:rsidR="00895DB1">
        <w:t xml:space="preserve"> </w:t>
      </w:r>
      <w:r w:rsidR="007C0DF8">
        <w:t>ostale povrate (analitički konto 722719</w:t>
      </w:r>
      <w:r w:rsidR="008455D6">
        <w:t xml:space="preserve"> – 39.606 KM</w:t>
      </w:r>
      <w:r w:rsidR="007C0DF8">
        <w:t>)</w:t>
      </w:r>
      <w:r w:rsidR="006B5233">
        <w:t xml:space="preserve">, na kojima se </w:t>
      </w:r>
      <w:r w:rsidR="006B5233" w:rsidRPr="004979FE">
        <w:t xml:space="preserve">računovodstveno evidentiraju povrati od </w:t>
      </w:r>
      <w:proofErr w:type="spellStart"/>
      <w:r w:rsidR="006B5233" w:rsidRPr="004979FE">
        <w:t>akciza</w:t>
      </w:r>
      <w:proofErr w:type="spellEnd"/>
      <w:r w:rsidR="006B5233" w:rsidRPr="004979FE">
        <w:t xml:space="preserve"> na naftu i naftne derivate osnovnih škola</w:t>
      </w:r>
      <w:r w:rsidR="006B5233">
        <w:t>.</w:t>
      </w:r>
    </w:p>
    <w:p w:rsidR="009554E4" w:rsidRPr="00255AC1" w:rsidRDefault="009554E4" w:rsidP="009554E4">
      <w:pPr>
        <w:pStyle w:val="Uvuenotijeloteksta"/>
        <w:spacing w:line="240" w:lineRule="auto"/>
        <w:rPr>
          <w:sz w:val="16"/>
          <w:szCs w:val="16"/>
        </w:rPr>
      </w:pPr>
    </w:p>
    <w:p w:rsidR="009554E4" w:rsidRDefault="009554E4" w:rsidP="009554E4">
      <w:pPr>
        <w:pStyle w:val="Uvuenotijeloteksta"/>
        <w:spacing w:line="240" w:lineRule="auto"/>
        <w:ind w:firstLine="0"/>
      </w:pPr>
      <w:r w:rsidRPr="000A683A">
        <w:rPr>
          <w:b/>
        </w:rPr>
        <w:t>Novčane kazne (potkategorija 723000)</w:t>
      </w:r>
      <w:r>
        <w:t xml:space="preserve"> ostvarene su u iznosu od </w:t>
      </w:r>
      <w:r w:rsidR="008455D6">
        <w:t>383.120</w:t>
      </w:r>
      <w:r>
        <w:t xml:space="preserve"> KM, odnosno </w:t>
      </w:r>
      <w:r w:rsidR="008455D6">
        <w:t>81,99</w:t>
      </w:r>
      <w:r>
        <w:t>% ukupno planiranih prihoda po ovoj namjeni. U usporedbi s razdobljem siječanj-</w:t>
      </w:r>
      <w:r w:rsidR="008455D6">
        <w:t>rujan</w:t>
      </w:r>
      <w:r>
        <w:t xml:space="preserve"> fiskalne 201</w:t>
      </w:r>
      <w:r w:rsidR="006D5A57">
        <w:t>9</w:t>
      </w:r>
      <w:r>
        <w:t xml:space="preserve">. godine ovdje se radi o </w:t>
      </w:r>
      <w:r w:rsidR="006D5A57">
        <w:t>smanjenju</w:t>
      </w:r>
      <w:r w:rsidR="009116BC">
        <w:t xml:space="preserve"> </w:t>
      </w:r>
      <w:r w:rsidR="000630C6">
        <w:t xml:space="preserve">za </w:t>
      </w:r>
      <w:r w:rsidR="008455D6">
        <w:t>16,63</w:t>
      </w:r>
      <w:r>
        <w:t>%</w:t>
      </w:r>
      <w:r w:rsidR="000630C6">
        <w:t>,</w:t>
      </w:r>
      <w:r>
        <w:t xml:space="preserve"> i to na</w:t>
      </w:r>
      <w:r w:rsidR="00205DA8">
        <w:t>jvećim dijelom na</w:t>
      </w:r>
      <w:r>
        <w:t xml:space="preserve"> analitičkom kontu 723123 – Novčane kazne za prekršaje koje su registrirane u registru novčanih kazni (</w:t>
      </w:r>
      <w:r w:rsidR="006D5A57">
        <w:t>manje</w:t>
      </w:r>
      <w:r>
        <w:t xml:space="preserve"> za </w:t>
      </w:r>
      <w:r w:rsidR="008455D6">
        <w:t>101.852</w:t>
      </w:r>
      <w:r w:rsidR="000D5396">
        <w:t xml:space="preserve"> KM</w:t>
      </w:r>
      <w:r>
        <w:t xml:space="preserve"> u apsolutnom iznosu</w:t>
      </w:r>
      <w:r w:rsidR="000630C6">
        <w:t>,</w:t>
      </w:r>
      <w:r w:rsidR="003431B6">
        <w:t xml:space="preserve"> odnosno za </w:t>
      </w:r>
      <w:r w:rsidR="008455D6">
        <w:t>22,46</w:t>
      </w:r>
      <w:r w:rsidR="003431B6">
        <w:t>% u relativnom iznosu</w:t>
      </w:r>
      <w:r>
        <w:t>).</w:t>
      </w:r>
      <w:r w:rsidR="003E380A">
        <w:t xml:space="preserve"> U odnosu na planirano u razdoblju siječanj-</w:t>
      </w:r>
      <w:r w:rsidR="008455D6">
        <w:t>rujan</w:t>
      </w:r>
      <w:r w:rsidR="003E380A">
        <w:t xml:space="preserve"> 20</w:t>
      </w:r>
      <w:r w:rsidR="006D5A57">
        <w:t>20</w:t>
      </w:r>
      <w:r w:rsidR="003E380A">
        <w:t xml:space="preserve">. godine realizacija novčanih kazni je u apsolutnom iznosu </w:t>
      </w:r>
      <w:r w:rsidR="008455D6">
        <w:t>veća</w:t>
      </w:r>
      <w:r w:rsidR="003E380A">
        <w:t xml:space="preserve"> za </w:t>
      </w:r>
      <w:r w:rsidR="008455D6">
        <w:t>32.645</w:t>
      </w:r>
      <w:r w:rsidR="003E380A">
        <w:t xml:space="preserve"> KM</w:t>
      </w:r>
      <w:r w:rsidR="006D5A57">
        <w:t xml:space="preserve">, ili </w:t>
      </w:r>
      <w:r w:rsidR="008455D6">
        <w:t>veća</w:t>
      </w:r>
      <w:r w:rsidR="006D5A57">
        <w:t xml:space="preserve"> za </w:t>
      </w:r>
      <w:r w:rsidR="008455D6">
        <w:t>9,31</w:t>
      </w:r>
      <w:r w:rsidR="006D5A57">
        <w:t>%</w:t>
      </w:r>
      <w:r w:rsidR="003E380A">
        <w:t>.</w:t>
      </w:r>
      <w:r w:rsidR="008455D6">
        <w:t xml:space="preserve"> U ovoj skupini prihoda bitno je naglasiti da je iznos od 15.000,00 KM realiziran po sudskoj presudi u korist Osnovne škole Orašje u Orašju.</w:t>
      </w:r>
    </w:p>
    <w:p w:rsidR="00555DFD" w:rsidRDefault="00555DFD" w:rsidP="009554E4">
      <w:pPr>
        <w:pStyle w:val="Uvuenotijeloteksta"/>
        <w:spacing w:line="240" w:lineRule="auto"/>
        <w:ind w:firstLine="0"/>
        <w:jc w:val="left"/>
        <w:rPr>
          <w:b/>
          <w:bCs/>
          <w:i/>
        </w:rPr>
      </w:pPr>
    </w:p>
    <w:p w:rsidR="00555DFD" w:rsidRDefault="00555DFD" w:rsidP="009554E4">
      <w:pPr>
        <w:pStyle w:val="Uvuenotijeloteksta"/>
        <w:spacing w:line="240" w:lineRule="auto"/>
        <w:ind w:firstLine="0"/>
        <w:jc w:val="left"/>
        <w:rPr>
          <w:b/>
          <w:bCs/>
          <w:i/>
        </w:rPr>
      </w:pPr>
    </w:p>
    <w:p w:rsidR="009554E4" w:rsidRPr="00C27F17" w:rsidRDefault="00AD16F2" w:rsidP="009554E4">
      <w:pPr>
        <w:pStyle w:val="Uvuenotijeloteksta"/>
        <w:spacing w:line="240" w:lineRule="auto"/>
        <w:ind w:firstLine="0"/>
        <w:jc w:val="left"/>
        <w:rPr>
          <w:b/>
          <w:bCs/>
          <w:i/>
        </w:rPr>
      </w:pPr>
      <w:r w:rsidRPr="006D5A57">
        <w:rPr>
          <w:b/>
          <w:bCs/>
          <w:i/>
        </w:rPr>
        <w:t>1.</w:t>
      </w:r>
      <w:r w:rsidR="009554E4" w:rsidRPr="006D5A57">
        <w:rPr>
          <w:b/>
          <w:bCs/>
          <w:i/>
        </w:rPr>
        <w:t>3</w:t>
      </w:r>
      <w:r w:rsidR="009554E4" w:rsidRPr="006D5A57">
        <w:rPr>
          <w:b/>
          <w:bCs/>
          <w:i/>
        </w:rPr>
        <w:tab/>
        <w:t>TEKUĆ</w:t>
      </w:r>
      <w:r w:rsidR="00174B34" w:rsidRPr="006D5A57">
        <w:rPr>
          <w:b/>
          <w:bCs/>
          <w:i/>
        </w:rPr>
        <w:t>I</w:t>
      </w:r>
      <w:r w:rsidR="009116BC" w:rsidRPr="006D5A57">
        <w:rPr>
          <w:b/>
          <w:bCs/>
          <w:i/>
        </w:rPr>
        <w:t xml:space="preserve"> </w:t>
      </w:r>
      <w:r w:rsidR="00174B34" w:rsidRPr="006D5A57">
        <w:rPr>
          <w:b/>
          <w:bCs/>
          <w:i/>
        </w:rPr>
        <w:t>GRANTOVI (GRANTOVI I DONACIJE)</w:t>
      </w:r>
    </w:p>
    <w:p w:rsidR="009554E4" w:rsidRDefault="009554E4" w:rsidP="009554E4">
      <w:pPr>
        <w:pStyle w:val="Uvuenotijeloteksta"/>
        <w:spacing w:line="240" w:lineRule="auto"/>
        <w:jc w:val="left"/>
      </w:pPr>
    </w:p>
    <w:p w:rsidR="00FB6452" w:rsidRDefault="009554E4" w:rsidP="009554E4">
      <w:pPr>
        <w:pStyle w:val="Uvuenotijeloteksta"/>
        <w:spacing w:line="240" w:lineRule="auto"/>
        <w:ind w:firstLine="0"/>
      </w:pPr>
      <w:r w:rsidRPr="00942C0F">
        <w:t>Tekuć</w:t>
      </w:r>
      <w:r w:rsidR="000D5396">
        <w:t>i</w:t>
      </w:r>
      <w:r w:rsidR="009116BC">
        <w:t xml:space="preserve"> </w:t>
      </w:r>
      <w:proofErr w:type="spellStart"/>
      <w:r w:rsidR="00174B34" w:rsidRPr="00942C0F">
        <w:t>grantovi</w:t>
      </w:r>
      <w:proofErr w:type="spellEnd"/>
      <w:r w:rsidRPr="00942C0F">
        <w:t xml:space="preserve"> (kategorija 730000) ostvaren</w:t>
      </w:r>
      <w:r w:rsidR="000D5396">
        <w:t>i</w:t>
      </w:r>
      <w:r w:rsidRPr="00942C0F">
        <w:t xml:space="preserve"> su u visini od </w:t>
      </w:r>
      <w:r w:rsidR="00EB375B">
        <w:t>8.411.529 KM</w:t>
      </w:r>
      <w:r w:rsidR="00FB6452">
        <w:t>, i odnose se na:</w:t>
      </w:r>
    </w:p>
    <w:p w:rsidR="00402EFA" w:rsidRDefault="00402EFA" w:rsidP="00402EFA">
      <w:pPr>
        <w:pStyle w:val="Uvuenotijeloteksta"/>
        <w:numPr>
          <w:ilvl w:val="0"/>
          <w:numId w:val="33"/>
        </w:numPr>
        <w:spacing w:line="240" w:lineRule="auto"/>
      </w:pPr>
      <w:r>
        <w:t xml:space="preserve">Primljeni tekući </w:t>
      </w:r>
      <w:proofErr w:type="spellStart"/>
      <w:r>
        <w:t>grantovi</w:t>
      </w:r>
      <w:proofErr w:type="spellEnd"/>
      <w:r>
        <w:t xml:space="preserve"> od inozemnih vlada i međunarodnih </w:t>
      </w:r>
      <w:r w:rsidR="009158FF">
        <w:t>organizacija (potkategorija 731000)</w:t>
      </w:r>
      <w:r>
        <w:t xml:space="preserve"> u ukupnom iznosu od 1.400 KM, i to:</w:t>
      </w:r>
    </w:p>
    <w:p w:rsidR="00402EFA" w:rsidRPr="009158FF" w:rsidRDefault="00B67CE1" w:rsidP="00402EFA">
      <w:pPr>
        <w:pStyle w:val="Uvuenotijeloteksta"/>
        <w:numPr>
          <w:ilvl w:val="1"/>
          <w:numId w:val="33"/>
        </w:numPr>
        <w:spacing w:line="240" w:lineRule="auto"/>
      </w:pPr>
      <w:r w:rsidRPr="009158FF">
        <w:t>tekući grant od Središnjeg državnog ureda za Hrvate izvan Republike Hrvatske dodijeljen Osnovnoj školi Orašje u Orašju na osnovi Ugovora o dodjeli financijske potpore projektu Izložba radova, priredba i radionica povodom međunarodnog likovno-literarnoga natječaja „Jezik“, broj: 537-02-01/2-20-02 od 20.01.2020.godine, u iznosu od 1.285 KM (5.000 kn),</w:t>
      </w:r>
      <w:r w:rsidR="00896477" w:rsidRPr="009158FF">
        <w:t xml:space="preserve"> i</w:t>
      </w:r>
    </w:p>
    <w:p w:rsidR="00B67CE1" w:rsidRPr="009158FF" w:rsidRDefault="009158FF" w:rsidP="00B67CE1">
      <w:pPr>
        <w:pStyle w:val="Uvuenotijeloteksta"/>
        <w:numPr>
          <w:ilvl w:val="1"/>
          <w:numId w:val="33"/>
        </w:numPr>
        <w:spacing w:line="240" w:lineRule="auto"/>
      </w:pPr>
      <w:r w:rsidRPr="009158FF">
        <w:lastRenderedPageBreak/>
        <w:t>utrošeni dio razgraničenih sredstava za procesuiranje ratnih zločina (IPA) po Rješenju KUF V-219/19 prihodovan na Kantonalno tužiteljstvo u iznosu od 115 KM.</w:t>
      </w:r>
    </w:p>
    <w:p w:rsidR="00896477" w:rsidRPr="00896477" w:rsidRDefault="00896477" w:rsidP="00B67CE1">
      <w:pPr>
        <w:pStyle w:val="Uvuenotijeloteksta"/>
        <w:spacing w:line="240" w:lineRule="auto"/>
        <w:rPr>
          <w:highlight w:val="yellow"/>
        </w:rPr>
      </w:pPr>
    </w:p>
    <w:p w:rsidR="00402EFA" w:rsidRDefault="00402EFA" w:rsidP="00402EFA">
      <w:pPr>
        <w:pStyle w:val="Uvuenotijeloteksta"/>
        <w:numPr>
          <w:ilvl w:val="0"/>
          <w:numId w:val="33"/>
        </w:numPr>
        <w:spacing w:line="240" w:lineRule="auto"/>
      </w:pPr>
      <w:r>
        <w:t xml:space="preserve">Primljeni tekući </w:t>
      </w:r>
      <w:proofErr w:type="spellStart"/>
      <w:r>
        <w:t>grantovi</w:t>
      </w:r>
      <w:proofErr w:type="spellEnd"/>
      <w:r>
        <w:t xml:space="preserve"> od ostalih razina vlasti </w:t>
      </w:r>
      <w:r w:rsidR="009158FF">
        <w:t xml:space="preserve">(potkategorija 732000) </w:t>
      </w:r>
      <w:r>
        <w:t xml:space="preserve">u ukupnom iznosu od </w:t>
      </w:r>
      <w:r w:rsidR="00EB375B">
        <w:t>8.409.902 KM</w:t>
      </w:r>
      <w:r>
        <w:t>, i to:</w:t>
      </w:r>
    </w:p>
    <w:p w:rsidR="00EB375B" w:rsidRDefault="00EB375B" w:rsidP="00402EFA">
      <w:pPr>
        <w:pStyle w:val="Uvuenotijeloteksta"/>
        <w:numPr>
          <w:ilvl w:val="1"/>
          <w:numId w:val="33"/>
        </w:numPr>
        <w:spacing w:line="240" w:lineRule="auto"/>
      </w:pPr>
      <w:r>
        <w:t>utrošena sredstva Ministarstva gospodarstva, rada i prostornog uređenja za izradu Prostornog plana u iznosu od 7.523 KM, prihodovana sa razgraničenja (</w:t>
      </w:r>
      <w:r w:rsidRPr="00A12B5C">
        <w:t>sredstva iz Proračuna Federacije BiH za izradu Prostornog plana</w:t>
      </w:r>
      <w:r>
        <w:t>),</w:t>
      </w:r>
    </w:p>
    <w:p w:rsidR="00FB6452" w:rsidRDefault="007732B6" w:rsidP="00402EFA">
      <w:pPr>
        <w:pStyle w:val="Uvuenotijeloteksta"/>
        <w:numPr>
          <w:ilvl w:val="1"/>
          <w:numId w:val="33"/>
        </w:numPr>
        <w:spacing w:line="240" w:lineRule="auto"/>
      </w:pPr>
      <w:r w:rsidRPr="00942C0F">
        <w:t xml:space="preserve">sredstva iz Proračuna </w:t>
      </w:r>
      <w:proofErr w:type="spellStart"/>
      <w:r w:rsidRPr="00942C0F">
        <w:t>FBiH</w:t>
      </w:r>
      <w:proofErr w:type="spellEnd"/>
      <w:r w:rsidRPr="00942C0F">
        <w:t xml:space="preserve"> Ministarstvu zdravstva, rada i socijalne politike za</w:t>
      </w:r>
      <w:r w:rsidRPr="00B10CC9">
        <w:t xml:space="preserve"> primjenu Zakona o osnovama socijalne zaštite, zaštite civilnih žrtava rata i zaštite porodica s djecom  </w:t>
      </w:r>
      <w:r>
        <w:t>(«Službene novine Federacije Bosne i Hercegovine», broj</w:t>
      </w:r>
      <w:r w:rsidR="00B67CE1">
        <w:t>:</w:t>
      </w:r>
      <w:r>
        <w:t xml:space="preserve"> 36/99, 54/04, 39/06 i 14/09)</w:t>
      </w:r>
      <w:r w:rsidR="00FB6452">
        <w:t xml:space="preserve">, u iznosu od </w:t>
      </w:r>
      <w:r w:rsidR="00EB375B">
        <w:t>182.264</w:t>
      </w:r>
      <w:r w:rsidR="007C0DF8">
        <w:t xml:space="preserve"> KM, </w:t>
      </w:r>
    </w:p>
    <w:p w:rsidR="00EB375B" w:rsidRPr="00DC5CDA" w:rsidRDefault="00DC5CDA" w:rsidP="00402EFA">
      <w:pPr>
        <w:pStyle w:val="Uvuenotijeloteksta"/>
        <w:numPr>
          <w:ilvl w:val="1"/>
          <w:numId w:val="33"/>
        </w:numPr>
        <w:spacing w:line="240" w:lineRule="auto"/>
      </w:pPr>
      <w:r w:rsidRPr="00DC5CDA">
        <w:t xml:space="preserve">tekuća potpora od Federalnog ministarstva obrazovanja i nauke dodijeljena  Ministarstvu obrazovanja, znanosti, kulture i sporta Županije Posavske na osnovi Ugovora o financiranju/sufinanciranju nabavke besplatnih udžbenika za učenike trećih i četvrtih razreda devetogodišnjeg osnovnog obrazovanja, prvenstveno za one koji su u stanju socijalne potrebe, broj: 06-34-170-3/20 od 06.07.2020. godine u iznosu od </w:t>
      </w:r>
      <w:r w:rsidR="00EB375B" w:rsidRPr="00DC5CDA">
        <w:t xml:space="preserve">7.344 </w:t>
      </w:r>
      <w:r w:rsidRPr="00DC5CDA">
        <w:t>KM,</w:t>
      </w:r>
    </w:p>
    <w:p w:rsidR="00FE47C1" w:rsidRDefault="00FE47C1" w:rsidP="00402EFA">
      <w:pPr>
        <w:pStyle w:val="Uvuenotijeloteksta"/>
        <w:numPr>
          <w:ilvl w:val="1"/>
          <w:numId w:val="33"/>
        </w:numPr>
        <w:spacing w:line="240" w:lineRule="auto"/>
      </w:pPr>
      <w:r w:rsidRPr="0082153E">
        <w:t xml:space="preserve">tekuća potpora Proračunu Županije Posavske na temelju Odluke o raspodjeli </w:t>
      </w:r>
      <w:r w:rsidR="00402EFA">
        <w:t xml:space="preserve">preostalog dijela </w:t>
      </w:r>
      <w:r w:rsidRPr="0082153E">
        <w:t xml:space="preserve">sredstava utvrđenih Proračunom Federacije Bosne i Hercegovine za 2019. godinu Federalnom ministarstvu financija s pozicije „Tekući transferi drugim razinama vlasti i fondovima – kantoni i općine“ kantoni („Službene novine Federacije BiH“, broj: </w:t>
      </w:r>
      <w:r w:rsidR="00402EFA">
        <w:t>97</w:t>
      </w:r>
      <w:r w:rsidRPr="0082153E">
        <w:t xml:space="preserve">/19) u iznosu od </w:t>
      </w:r>
      <w:r>
        <w:t>600</w:t>
      </w:r>
      <w:r w:rsidRPr="0082153E">
        <w:t>.000 KM,</w:t>
      </w:r>
      <w:r w:rsidR="00EB375B">
        <w:t xml:space="preserve"> </w:t>
      </w:r>
    </w:p>
    <w:p w:rsidR="00EB375B" w:rsidRDefault="00EB375B" w:rsidP="00402EFA">
      <w:pPr>
        <w:pStyle w:val="Uvuenotijeloteksta"/>
        <w:numPr>
          <w:ilvl w:val="1"/>
          <w:numId w:val="33"/>
        </w:numPr>
        <w:spacing w:line="240" w:lineRule="auto"/>
      </w:pPr>
      <w:r>
        <w:t xml:space="preserve">sredstva na osnovi Odluke o raspodjeli sredstava utvrđenih Budžetom Federacije Bosne i Hercegovine za 2020. godinu Federalnom ministarstvu </w:t>
      </w:r>
      <w:proofErr w:type="spellStart"/>
      <w:r>
        <w:t>finansija</w:t>
      </w:r>
      <w:proofErr w:type="spellEnd"/>
      <w:r>
        <w:t xml:space="preserve">-Federalnom ministarstvu financija sa pozicije „Tekući transferi drugim nivoima vlasti i fondovima – sredstva iz RFI aranžmana sa MMF-om“, broj: 1059/2020 od 29.07.2020.godine, i Ugovora o dodjeli potpore iz Proračuna Federacije </w:t>
      </w:r>
      <w:r w:rsidR="00C63DCE">
        <w:t xml:space="preserve">BiH, broj:09-11-6-2-5109-UK-2/20 od 30.07.2020. godine u iznosu od 7.601.971 KM – </w:t>
      </w:r>
      <w:r w:rsidR="00C63DCE" w:rsidRPr="00283491">
        <w:rPr>
          <w:b/>
        </w:rPr>
        <w:t xml:space="preserve">financijska pomoć proračunima županija u sanaciji posljedica nastalih uslijed proglašene </w:t>
      </w:r>
      <w:proofErr w:type="spellStart"/>
      <w:r w:rsidR="00C63DCE" w:rsidRPr="00283491">
        <w:rPr>
          <w:b/>
        </w:rPr>
        <w:t>pandemije</w:t>
      </w:r>
      <w:proofErr w:type="spellEnd"/>
      <w:r w:rsidR="00C63DCE" w:rsidRPr="00283491">
        <w:rPr>
          <w:b/>
        </w:rPr>
        <w:t xml:space="preserve"> COVID-19 virusa</w:t>
      </w:r>
      <w:r w:rsidR="00C63DCE">
        <w:t>, i</w:t>
      </w:r>
    </w:p>
    <w:p w:rsidR="00FB6452" w:rsidRDefault="00402EFA" w:rsidP="00402EFA">
      <w:pPr>
        <w:pStyle w:val="Uvuenotijeloteksta"/>
        <w:numPr>
          <w:ilvl w:val="1"/>
          <w:numId w:val="33"/>
        </w:numPr>
        <w:spacing w:line="240" w:lineRule="auto"/>
      </w:pPr>
      <w:r>
        <w:t>g</w:t>
      </w:r>
      <w:r w:rsidR="00FB6452">
        <w:t xml:space="preserve">rant od </w:t>
      </w:r>
      <w:r>
        <w:t>Službe za upošljavanje Županije Posavske</w:t>
      </w:r>
      <w:r w:rsidR="00FB6452">
        <w:t xml:space="preserve"> </w:t>
      </w:r>
      <w:r w:rsidR="00FB6452" w:rsidRPr="00A12B5C">
        <w:t xml:space="preserve">na temelju </w:t>
      </w:r>
      <w:r>
        <w:t xml:space="preserve">Ugovora o sufinanciranju odgovarajućeg stručnog kadra za djecu </w:t>
      </w:r>
      <w:r w:rsidR="00FB6452" w:rsidRPr="00A12B5C">
        <w:t>s poteškoćama u razvoju u osnovnom obrazovanju</w:t>
      </w:r>
      <w:r>
        <w:t xml:space="preserve"> u redovnoj nastavi u </w:t>
      </w:r>
      <w:proofErr w:type="spellStart"/>
      <w:r>
        <w:t>FBiH</w:t>
      </w:r>
      <w:proofErr w:type="spellEnd"/>
      <w:r>
        <w:t>, broj:06-38-913-4/19 od 11.11.2019 godine,</w:t>
      </w:r>
      <w:r w:rsidR="00FB6452" w:rsidRPr="00A12B5C">
        <w:t xml:space="preserve"> u iznosu od</w:t>
      </w:r>
      <w:r w:rsidR="00FB6452">
        <w:t xml:space="preserve"> </w:t>
      </w:r>
      <w:r w:rsidR="006B5233">
        <w:t>10.800</w:t>
      </w:r>
      <w:r w:rsidR="00FB6452">
        <w:t xml:space="preserve"> KM.</w:t>
      </w:r>
      <w:r w:rsidR="00DC4830">
        <w:t xml:space="preserve"> </w:t>
      </w:r>
    </w:p>
    <w:p w:rsidR="00FB6452" w:rsidRDefault="00FB6452" w:rsidP="00FB6452">
      <w:pPr>
        <w:pStyle w:val="Uvuenotijeloteksta"/>
        <w:spacing w:line="240" w:lineRule="auto"/>
      </w:pPr>
    </w:p>
    <w:p w:rsidR="00C63DCE" w:rsidRDefault="00C63DCE" w:rsidP="00C63DCE">
      <w:pPr>
        <w:pStyle w:val="Uvuenotijeloteksta"/>
        <w:numPr>
          <w:ilvl w:val="0"/>
          <w:numId w:val="33"/>
        </w:numPr>
        <w:spacing w:line="240" w:lineRule="auto"/>
      </w:pPr>
      <w:r>
        <w:t>Primljene domaće donacije (potkategorija 733000) u ukupnom iznosu od 227.</w:t>
      </w:r>
    </w:p>
    <w:p w:rsidR="00C63DCE" w:rsidRDefault="00C63DCE" w:rsidP="00A1594C">
      <w:pPr>
        <w:pStyle w:val="Uvuenotijeloteksta"/>
        <w:spacing w:line="240" w:lineRule="auto"/>
        <w:ind w:firstLine="0"/>
      </w:pPr>
    </w:p>
    <w:p w:rsidR="009554E4" w:rsidRDefault="009554E4" w:rsidP="00A1594C">
      <w:pPr>
        <w:pStyle w:val="Uvuenotijeloteksta"/>
        <w:spacing w:line="240" w:lineRule="auto"/>
        <w:ind w:firstLine="0"/>
      </w:pPr>
      <w:r>
        <w:t xml:space="preserve">U odnosu na </w:t>
      </w:r>
      <w:r w:rsidR="00C63DCE">
        <w:t xml:space="preserve">ukupno </w:t>
      </w:r>
      <w:r>
        <w:t>planirane tekuće potpore u 20</w:t>
      </w:r>
      <w:r w:rsidR="00402EFA">
        <w:t>20</w:t>
      </w:r>
      <w:r>
        <w:t xml:space="preserve">. godini ostvarenje iznosi </w:t>
      </w:r>
      <w:r w:rsidR="00C63DCE">
        <w:t>90,83%</w:t>
      </w:r>
      <w:r w:rsidR="006B5233">
        <w:t xml:space="preserve">. </w:t>
      </w:r>
      <w:r w:rsidRPr="00942C0F">
        <w:t xml:space="preserve">Ostvarenje tekućih </w:t>
      </w:r>
      <w:proofErr w:type="spellStart"/>
      <w:r w:rsidR="00942C0F">
        <w:t>grantova</w:t>
      </w:r>
      <w:proofErr w:type="spellEnd"/>
      <w:r w:rsidRPr="00942C0F">
        <w:t xml:space="preserve"> u izvještajnom razdoblju </w:t>
      </w:r>
      <w:r w:rsidR="00C63DCE">
        <w:t xml:space="preserve">višestruko je </w:t>
      </w:r>
      <w:r w:rsidR="00402EFA">
        <w:t>veće</w:t>
      </w:r>
      <w:r w:rsidR="00353B84">
        <w:t xml:space="preserve"> </w:t>
      </w:r>
      <w:r w:rsidRPr="00942C0F">
        <w:t>od ostvarenja u istom razdoblju fiskalne 201</w:t>
      </w:r>
      <w:r w:rsidR="00402EFA">
        <w:t>9</w:t>
      </w:r>
      <w:r w:rsidRPr="00942C0F">
        <w:t>. g</w:t>
      </w:r>
      <w:r w:rsidR="00DC4830">
        <w:t>.</w:t>
      </w:r>
      <w:r w:rsidR="00402EFA">
        <w:t xml:space="preserve">. </w:t>
      </w:r>
    </w:p>
    <w:p w:rsidR="006B5233" w:rsidRDefault="006B5233" w:rsidP="009554E4">
      <w:pPr>
        <w:pStyle w:val="Uvuenotijeloteksta"/>
        <w:spacing w:line="240" w:lineRule="auto"/>
        <w:ind w:firstLine="0"/>
      </w:pPr>
    </w:p>
    <w:p w:rsidR="009554E4" w:rsidRDefault="009554E4" w:rsidP="009554E4">
      <w:pPr>
        <w:pStyle w:val="Uvuenotijeloteksta"/>
        <w:spacing w:line="240" w:lineRule="auto"/>
        <w:ind w:firstLine="0"/>
      </w:pPr>
      <w:r w:rsidRPr="00FC5F2A">
        <w:t xml:space="preserve">U Tablici </w:t>
      </w:r>
      <w:r w:rsidR="00A832B5" w:rsidRPr="00FC5F2A">
        <w:t>8</w:t>
      </w:r>
      <w:r w:rsidRPr="00FC5F2A">
        <w:t xml:space="preserve">. </w:t>
      </w:r>
      <w:r w:rsidR="003E3339">
        <w:t xml:space="preserve">i na grafu 9. </w:t>
      </w:r>
      <w:r w:rsidRPr="00FC5F2A">
        <w:t xml:space="preserve">prikazana je struktura ostvarenih tekućih </w:t>
      </w:r>
      <w:proofErr w:type="spellStart"/>
      <w:r w:rsidR="00942C0F" w:rsidRPr="00FC5F2A">
        <w:t>grantova</w:t>
      </w:r>
      <w:proofErr w:type="spellEnd"/>
      <w:r w:rsidRPr="00FC5F2A">
        <w:t xml:space="preserve"> Proračuna Županije Posavske u razdoblju 01.01.-</w:t>
      </w:r>
      <w:r w:rsidR="006B5233">
        <w:t>30</w:t>
      </w:r>
      <w:r w:rsidR="00A1594C">
        <w:t>.</w:t>
      </w:r>
      <w:r w:rsidRPr="00FC5F2A">
        <w:t>0</w:t>
      </w:r>
      <w:r w:rsidR="00C63DCE">
        <w:t>9</w:t>
      </w:r>
      <w:r w:rsidRPr="00FC5F2A">
        <w:t>.20</w:t>
      </w:r>
      <w:r w:rsidR="00402EFA">
        <w:t>20</w:t>
      </w:r>
      <w:r w:rsidRPr="00FC5F2A">
        <w:t>. godine.</w:t>
      </w:r>
    </w:p>
    <w:p w:rsidR="00701F8E" w:rsidRDefault="00701F8E" w:rsidP="009554E4">
      <w:pPr>
        <w:pStyle w:val="Uvuenotijeloteksta"/>
        <w:spacing w:line="240" w:lineRule="auto"/>
        <w:ind w:firstLine="0"/>
      </w:pPr>
    </w:p>
    <w:p w:rsidR="00283491" w:rsidRDefault="00283491" w:rsidP="009554E4">
      <w:pPr>
        <w:pStyle w:val="Uvuenotijeloteksta"/>
        <w:spacing w:line="240" w:lineRule="auto"/>
        <w:ind w:firstLine="0"/>
      </w:pPr>
    </w:p>
    <w:p w:rsidR="00283491" w:rsidRDefault="00283491" w:rsidP="009554E4">
      <w:pPr>
        <w:pStyle w:val="Uvuenotijeloteksta"/>
        <w:spacing w:line="240" w:lineRule="auto"/>
        <w:ind w:firstLine="0"/>
      </w:pPr>
    </w:p>
    <w:p w:rsidR="009554E4" w:rsidRPr="00FD3224" w:rsidRDefault="009554E4" w:rsidP="009554E4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lastRenderedPageBreak/>
        <w:t xml:space="preserve">Tablica </w:t>
      </w:r>
      <w:r w:rsidR="00A832B5">
        <w:rPr>
          <w:sz w:val="20"/>
          <w:szCs w:val="20"/>
        </w:rPr>
        <w:t>8</w:t>
      </w:r>
      <w:r w:rsidRPr="00FD3224">
        <w:rPr>
          <w:sz w:val="20"/>
          <w:szCs w:val="20"/>
        </w:rPr>
        <w:t xml:space="preserve">. Struktura ostvarenih </w:t>
      </w:r>
      <w:r>
        <w:rPr>
          <w:sz w:val="20"/>
          <w:szCs w:val="20"/>
        </w:rPr>
        <w:t xml:space="preserve">tekućih </w:t>
      </w:r>
      <w:proofErr w:type="spellStart"/>
      <w:r w:rsidR="00942C0F">
        <w:rPr>
          <w:sz w:val="20"/>
          <w:szCs w:val="20"/>
        </w:rPr>
        <w:t>grantova</w:t>
      </w:r>
      <w:proofErr w:type="spellEnd"/>
      <w:r w:rsidRPr="00FD3224">
        <w:rPr>
          <w:sz w:val="20"/>
          <w:szCs w:val="20"/>
        </w:rPr>
        <w:t xml:space="preserve"> Proračuna Žup</w:t>
      </w:r>
      <w:r>
        <w:rPr>
          <w:sz w:val="20"/>
          <w:szCs w:val="20"/>
        </w:rPr>
        <w:t xml:space="preserve">anije </w:t>
      </w:r>
      <w:r w:rsidRPr="00FD3224">
        <w:rPr>
          <w:sz w:val="20"/>
          <w:szCs w:val="20"/>
        </w:rPr>
        <w:t>Posavske u razdoblju 01.01.-</w:t>
      </w:r>
      <w:r w:rsidR="006B5233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C63DCE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402EFA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5637"/>
        <w:gridCol w:w="2409"/>
        <w:gridCol w:w="1242"/>
      </w:tblGrid>
      <w:tr w:rsidR="009554E4" w:rsidRPr="00FD3224" w:rsidTr="00612567">
        <w:trPr>
          <w:cnfStyle w:val="100000000000"/>
        </w:trPr>
        <w:tc>
          <w:tcPr>
            <w:cnfStyle w:val="001000000100"/>
            <w:tcW w:w="5637" w:type="dxa"/>
            <w:vAlign w:val="center"/>
          </w:tcPr>
          <w:p w:rsidR="009554E4" w:rsidRPr="00FD3224" w:rsidRDefault="009554E4" w:rsidP="00612567">
            <w:pPr>
              <w:rPr>
                <w:b/>
              </w:rPr>
            </w:pPr>
            <w:r w:rsidRPr="00FD3224">
              <w:rPr>
                <w:b/>
              </w:rPr>
              <w:t>OPIS</w:t>
            </w:r>
          </w:p>
        </w:tc>
        <w:tc>
          <w:tcPr>
            <w:tcW w:w="2409" w:type="dxa"/>
          </w:tcPr>
          <w:p w:rsidR="009554E4" w:rsidRPr="00FD3224" w:rsidRDefault="009554E4" w:rsidP="00612567">
            <w:pPr>
              <w:jc w:val="center"/>
              <w:cnfStyle w:val="100000000000"/>
              <w:rPr>
                <w:b/>
              </w:rPr>
            </w:pPr>
            <w:r w:rsidRPr="00FD3224">
              <w:rPr>
                <w:b/>
              </w:rPr>
              <w:t>Ostvareno</w:t>
            </w:r>
          </w:p>
          <w:p w:rsidR="009554E4" w:rsidRPr="00FD3224" w:rsidRDefault="009554E4" w:rsidP="00C63DCE">
            <w:pPr>
              <w:jc w:val="center"/>
              <w:cnfStyle w:val="100000000000"/>
              <w:rPr>
                <w:b/>
              </w:rPr>
            </w:pPr>
            <w:r w:rsidRPr="00FD3224">
              <w:rPr>
                <w:b/>
              </w:rPr>
              <w:t>01.01.-</w:t>
            </w:r>
            <w:r w:rsidR="006B5233">
              <w:rPr>
                <w:b/>
              </w:rPr>
              <w:t>30</w:t>
            </w:r>
            <w:r w:rsidRPr="00FD3224">
              <w:rPr>
                <w:b/>
              </w:rPr>
              <w:t>.0</w:t>
            </w:r>
            <w:r w:rsidR="00C63DCE">
              <w:rPr>
                <w:b/>
              </w:rPr>
              <w:t>9</w:t>
            </w:r>
            <w:r w:rsidRPr="00FD3224">
              <w:rPr>
                <w:b/>
              </w:rPr>
              <w:t>.20</w:t>
            </w:r>
            <w:r w:rsidR="00402EFA">
              <w:rPr>
                <w:b/>
              </w:rPr>
              <w:t>20</w:t>
            </w:r>
            <w:r w:rsidRPr="00FD3224">
              <w:rPr>
                <w:b/>
              </w:rPr>
              <w:t>.g. (u KM)</w:t>
            </w:r>
          </w:p>
        </w:tc>
        <w:tc>
          <w:tcPr>
            <w:tcW w:w="1242" w:type="dxa"/>
          </w:tcPr>
          <w:p w:rsidR="009554E4" w:rsidRDefault="009554E4" w:rsidP="00612567">
            <w:pPr>
              <w:jc w:val="center"/>
              <w:cnfStyle w:val="100000000000"/>
              <w:rPr>
                <w:b/>
              </w:rPr>
            </w:pPr>
            <w:r w:rsidRPr="00FD3224">
              <w:rPr>
                <w:b/>
              </w:rPr>
              <w:t xml:space="preserve">% </w:t>
            </w:r>
          </w:p>
          <w:p w:rsidR="009554E4" w:rsidRPr="00FD3224" w:rsidRDefault="009554E4" w:rsidP="00612567">
            <w:pPr>
              <w:jc w:val="center"/>
              <w:cnfStyle w:val="100000000000"/>
              <w:rPr>
                <w:b/>
              </w:rPr>
            </w:pPr>
            <w:r>
              <w:rPr>
                <w:b/>
              </w:rPr>
              <w:t>učešća</w:t>
            </w:r>
          </w:p>
        </w:tc>
      </w:tr>
      <w:tr w:rsidR="00402EFA" w:rsidTr="00942C0F">
        <w:trPr>
          <w:cnfStyle w:val="000000100000"/>
        </w:trPr>
        <w:tc>
          <w:tcPr>
            <w:cnfStyle w:val="001000000000"/>
            <w:tcW w:w="5637" w:type="dxa"/>
          </w:tcPr>
          <w:p w:rsidR="00402EFA" w:rsidRPr="000208BA" w:rsidRDefault="00402EFA" w:rsidP="00896477">
            <w:pPr>
              <w:jc w:val="both"/>
              <w:rPr>
                <w:sz w:val="22"/>
              </w:rPr>
            </w:pPr>
            <w:r>
              <w:rPr>
                <w:sz w:val="22"/>
              </w:rPr>
              <w:t>Primlj</w:t>
            </w:r>
            <w:r w:rsidR="00896477">
              <w:rPr>
                <w:sz w:val="22"/>
              </w:rPr>
              <w:t xml:space="preserve">eni </w:t>
            </w:r>
            <w:proofErr w:type="spellStart"/>
            <w:r>
              <w:rPr>
                <w:sz w:val="22"/>
              </w:rPr>
              <w:t>tek.grantovi</w:t>
            </w:r>
            <w:proofErr w:type="spellEnd"/>
            <w:r>
              <w:rPr>
                <w:sz w:val="22"/>
              </w:rPr>
              <w:t xml:space="preserve"> od inoz</w:t>
            </w:r>
            <w:r w:rsidR="00896477">
              <w:rPr>
                <w:sz w:val="22"/>
              </w:rPr>
              <w:t xml:space="preserve">emnih </w:t>
            </w:r>
            <w:r>
              <w:rPr>
                <w:sz w:val="22"/>
              </w:rPr>
              <w:t>vlada</w:t>
            </w:r>
            <w:r w:rsidR="00896477">
              <w:rPr>
                <w:sz w:val="22"/>
              </w:rPr>
              <w:t xml:space="preserve"> – OŠ Orašje</w:t>
            </w:r>
          </w:p>
        </w:tc>
        <w:tc>
          <w:tcPr>
            <w:tcW w:w="2409" w:type="dxa"/>
          </w:tcPr>
          <w:p w:rsidR="00402EFA" w:rsidRDefault="00896477" w:rsidP="00942C0F">
            <w:pPr>
              <w:ind w:right="743"/>
              <w:jc w:val="right"/>
              <w:cnfStyle w:val="000000100000"/>
            </w:pPr>
            <w:r>
              <w:t>1.285</w:t>
            </w:r>
          </w:p>
        </w:tc>
        <w:tc>
          <w:tcPr>
            <w:tcW w:w="1242" w:type="dxa"/>
          </w:tcPr>
          <w:p w:rsidR="00402EFA" w:rsidRDefault="00C63DCE" w:rsidP="00C63DCE">
            <w:pPr>
              <w:ind w:right="283"/>
              <w:jc w:val="right"/>
              <w:cnfStyle w:val="000000100000"/>
            </w:pPr>
            <w:r>
              <w:t>0,01</w:t>
            </w:r>
          </w:p>
        </w:tc>
      </w:tr>
      <w:tr w:rsidR="00402EFA" w:rsidTr="00942C0F">
        <w:tc>
          <w:tcPr>
            <w:cnfStyle w:val="001000000000"/>
            <w:tcW w:w="5637" w:type="dxa"/>
          </w:tcPr>
          <w:p w:rsidR="00402EFA" w:rsidRPr="000208BA" w:rsidRDefault="00896477" w:rsidP="0089647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Primljeni </w:t>
            </w:r>
            <w:proofErr w:type="spellStart"/>
            <w:r>
              <w:rPr>
                <w:sz w:val="22"/>
              </w:rPr>
              <w:t>tek.grantovi</w:t>
            </w:r>
            <w:proofErr w:type="spellEnd"/>
            <w:r>
              <w:rPr>
                <w:sz w:val="22"/>
              </w:rPr>
              <w:t xml:space="preserve"> od </w:t>
            </w:r>
            <w:proofErr w:type="spellStart"/>
            <w:r>
              <w:rPr>
                <w:sz w:val="22"/>
              </w:rPr>
              <w:t>međ.organiz</w:t>
            </w:r>
            <w:proofErr w:type="spellEnd"/>
            <w:r>
              <w:rPr>
                <w:sz w:val="22"/>
              </w:rPr>
              <w:t xml:space="preserve"> – KTPK (IPA)</w:t>
            </w:r>
          </w:p>
        </w:tc>
        <w:tc>
          <w:tcPr>
            <w:tcW w:w="2409" w:type="dxa"/>
          </w:tcPr>
          <w:p w:rsidR="00402EFA" w:rsidRDefault="00896477" w:rsidP="00942C0F">
            <w:pPr>
              <w:ind w:right="743"/>
              <w:jc w:val="right"/>
              <w:cnfStyle w:val="000000000000"/>
            </w:pPr>
            <w:r>
              <w:t>115</w:t>
            </w:r>
          </w:p>
        </w:tc>
        <w:tc>
          <w:tcPr>
            <w:tcW w:w="1242" w:type="dxa"/>
          </w:tcPr>
          <w:p w:rsidR="00402EFA" w:rsidRDefault="00C63DCE" w:rsidP="00A5462F">
            <w:pPr>
              <w:ind w:right="283"/>
              <w:jc w:val="right"/>
              <w:cnfStyle w:val="000000000000"/>
            </w:pPr>
            <w:r>
              <w:t>0,00</w:t>
            </w:r>
          </w:p>
        </w:tc>
      </w:tr>
      <w:tr w:rsidR="00C63DCE" w:rsidTr="00942C0F">
        <w:trPr>
          <w:cnfStyle w:val="000000100000"/>
        </w:trPr>
        <w:tc>
          <w:tcPr>
            <w:cnfStyle w:val="001000000000"/>
            <w:tcW w:w="5637" w:type="dxa"/>
          </w:tcPr>
          <w:p w:rsidR="00C63DCE" w:rsidRPr="000208BA" w:rsidRDefault="00C63DCE" w:rsidP="00C63DCE">
            <w:pPr>
              <w:jc w:val="both"/>
              <w:rPr>
                <w:sz w:val="22"/>
              </w:rPr>
            </w:pPr>
            <w:r w:rsidRPr="000208BA">
              <w:rPr>
                <w:sz w:val="22"/>
              </w:rPr>
              <w:t>Primljeni tek</w:t>
            </w:r>
            <w:r>
              <w:rPr>
                <w:sz w:val="22"/>
              </w:rPr>
              <w:t>.grant.</w:t>
            </w:r>
            <w:r w:rsidRPr="000208BA">
              <w:rPr>
                <w:sz w:val="22"/>
              </w:rPr>
              <w:t xml:space="preserve">od </w:t>
            </w:r>
            <w:proofErr w:type="spellStart"/>
            <w:r w:rsidRPr="000208BA">
              <w:rPr>
                <w:sz w:val="22"/>
              </w:rPr>
              <w:t>FBiH</w:t>
            </w:r>
            <w:proofErr w:type="spellEnd"/>
            <w:r w:rsidRPr="000208BA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0208BA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Min.gosp</w:t>
            </w:r>
            <w:proofErr w:type="spellEnd"/>
            <w:r>
              <w:rPr>
                <w:sz w:val="22"/>
              </w:rPr>
              <w:t>.-</w:t>
            </w:r>
            <w:proofErr w:type="spellStart"/>
            <w:r>
              <w:rPr>
                <w:sz w:val="22"/>
              </w:rPr>
              <w:t>Prost.plan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razgr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2409" w:type="dxa"/>
          </w:tcPr>
          <w:p w:rsidR="00C63DCE" w:rsidRDefault="00C63DCE" w:rsidP="00C63DCE">
            <w:pPr>
              <w:ind w:right="743"/>
              <w:jc w:val="right"/>
              <w:cnfStyle w:val="000000100000"/>
            </w:pPr>
            <w:r>
              <w:t>7.523</w:t>
            </w:r>
          </w:p>
        </w:tc>
        <w:tc>
          <w:tcPr>
            <w:tcW w:w="1242" w:type="dxa"/>
          </w:tcPr>
          <w:p w:rsidR="00C63DCE" w:rsidRDefault="00C63DCE" w:rsidP="00A5462F">
            <w:pPr>
              <w:ind w:right="283"/>
              <w:jc w:val="right"/>
              <w:cnfStyle w:val="000000100000"/>
            </w:pPr>
            <w:r>
              <w:t>0,09</w:t>
            </w:r>
          </w:p>
        </w:tc>
      </w:tr>
      <w:tr w:rsidR="00942C0F" w:rsidTr="00942C0F">
        <w:tc>
          <w:tcPr>
            <w:cnfStyle w:val="001000000000"/>
            <w:tcW w:w="5637" w:type="dxa"/>
          </w:tcPr>
          <w:p w:rsidR="00942C0F" w:rsidRPr="000208BA" w:rsidRDefault="00942C0F" w:rsidP="00C63DCE">
            <w:pPr>
              <w:jc w:val="both"/>
              <w:rPr>
                <w:sz w:val="22"/>
              </w:rPr>
            </w:pPr>
            <w:r w:rsidRPr="000208BA">
              <w:rPr>
                <w:sz w:val="22"/>
              </w:rPr>
              <w:t xml:space="preserve">Primljeni tekući </w:t>
            </w:r>
            <w:proofErr w:type="spellStart"/>
            <w:r w:rsidR="00C63DCE">
              <w:rPr>
                <w:sz w:val="22"/>
              </w:rPr>
              <w:t>grantovi</w:t>
            </w:r>
            <w:proofErr w:type="spellEnd"/>
            <w:r w:rsidRPr="000208BA">
              <w:rPr>
                <w:sz w:val="22"/>
              </w:rPr>
              <w:t xml:space="preserve"> od </w:t>
            </w:r>
            <w:proofErr w:type="spellStart"/>
            <w:r w:rsidRPr="000208BA">
              <w:rPr>
                <w:sz w:val="22"/>
              </w:rPr>
              <w:t>FBiH</w:t>
            </w:r>
            <w:proofErr w:type="spellEnd"/>
            <w:r w:rsidRPr="000208BA">
              <w:rPr>
                <w:sz w:val="22"/>
              </w:rPr>
              <w:t xml:space="preserve"> </w:t>
            </w:r>
            <w:r w:rsidR="00A5462F">
              <w:rPr>
                <w:sz w:val="22"/>
              </w:rPr>
              <w:t>–</w:t>
            </w:r>
            <w:r w:rsidRPr="000208BA">
              <w:rPr>
                <w:sz w:val="22"/>
              </w:rPr>
              <w:t xml:space="preserve"> </w:t>
            </w:r>
            <w:proofErr w:type="spellStart"/>
            <w:r w:rsidR="00A5462F">
              <w:rPr>
                <w:sz w:val="22"/>
              </w:rPr>
              <w:t>Min.zdravstva</w:t>
            </w:r>
            <w:proofErr w:type="spellEnd"/>
            <w:r w:rsidR="00A5462F">
              <w:rPr>
                <w:sz w:val="22"/>
              </w:rPr>
              <w:t>-</w:t>
            </w:r>
            <w:r w:rsidRPr="000208BA">
              <w:rPr>
                <w:sz w:val="22"/>
              </w:rPr>
              <w:t>CŽR</w:t>
            </w:r>
          </w:p>
        </w:tc>
        <w:tc>
          <w:tcPr>
            <w:tcW w:w="2409" w:type="dxa"/>
          </w:tcPr>
          <w:p w:rsidR="00942C0F" w:rsidRDefault="00C63DCE" w:rsidP="006B5233">
            <w:pPr>
              <w:ind w:right="743"/>
              <w:jc w:val="right"/>
              <w:cnfStyle w:val="000000000000"/>
            </w:pPr>
            <w:r>
              <w:t>182.264</w:t>
            </w:r>
          </w:p>
        </w:tc>
        <w:tc>
          <w:tcPr>
            <w:tcW w:w="1242" w:type="dxa"/>
          </w:tcPr>
          <w:p w:rsidR="00942C0F" w:rsidRDefault="00C63DCE" w:rsidP="00A5462F">
            <w:pPr>
              <w:ind w:right="283"/>
              <w:jc w:val="right"/>
              <w:cnfStyle w:val="000000000000"/>
            </w:pPr>
            <w:r>
              <w:t>2,17</w:t>
            </w:r>
          </w:p>
        </w:tc>
      </w:tr>
      <w:tr w:rsidR="00C63DCE" w:rsidTr="00942C0F">
        <w:trPr>
          <w:cnfStyle w:val="000000100000"/>
        </w:trPr>
        <w:tc>
          <w:tcPr>
            <w:cnfStyle w:val="001000000000"/>
            <w:tcW w:w="5637" w:type="dxa"/>
          </w:tcPr>
          <w:p w:rsidR="00C63DCE" w:rsidRPr="000208BA" w:rsidRDefault="00C63DCE" w:rsidP="00C63DCE">
            <w:pPr>
              <w:jc w:val="both"/>
              <w:rPr>
                <w:sz w:val="22"/>
              </w:rPr>
            </w:pPr>
            <w:r w:rsidRPr="000208BA">
              <w:rPr>
                <w:sz w:val="22"/>
              </w:rPr>
              <w:t xml:space="preserve">Primljeni tekući </w:t>
            </w:r>
            <w:proofErr w:type="spellStart"/>
            <w:r>
              <w:rPr>
                <w:sz w:val="22"/>
              </w:rPr>
              <w:t>grantovi</w:t>
            </w:r>
            <w:proofErr w:type="spellEnd"/>
            <w:r w:rsidRPr="000208BA">
              <w:rPr>
                <w:sz w:val="22"/>
              </w:rPr>
              <w:t xml:space="preserve"> od </w:t>
            </w:r>
            <w:proofErr w:type="spellStart"/>
            <w:r w:rsidRPr="000208BA">
              <w:rPr>
                <w:sz w:val="22"/>
              </w:rPr>
              <w:t>FBiH</w:t>
            </w:r>
            <w:proofErr w:type="spellEnd"/>
            <w:r w:rsidRPr="000208BA">
              <w:rPr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 w:rsidRPr="000208BA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Min.prosvjete</w:t>
            </w:r>
            <w:proofErr w:type="spellEnd"/>
            <w:r>
              <w:rPr>
                <w:sz w:val="22"/>
              </w:rPr>
              <w:t>-udžbenici</w:t>
            </w:r>
          </w:p>
        </w:tc>
        <w:tc>
          <w:tcPr>
            <w:tcW w:w="2409" w:type="dxa"/>
          </w:tcPr>
          <w:p w:rsidR="00C63DCE" w:rsidRDefault="00C63DCE" w:rsidP="00942C0F">
            <w:pPr>
              <w:ind w:right="743"/>
              <w:jc w:val="right"/>
              <w:cnfStyle w:val="000000100000"/>
            </w:pPr>
            <w:r>
              <w:t>7.344</w:t>
            </w:r>
          </w:p>
        </w:tc>
        <w:tc>
          <w:tcPr>
            <w:tcW w:w="1242" w:type="dxa"/>
          </w:tcPr>
          <w:p w:rsidR="00C63DCE" w:rsidRDefault="00C63DCE" w:rsidP="00A5462F">
            <w:pPr>
              <w:ind w:right="283"/>
              <w:jc w:val="right"/>
              <w:cnfStyle w:val="000000100000"/>
            </w:pPr>
            <w:r>
              <w:t>0,09</w:t>
            </w:r>
          </w:p>
        </w:tc>
      </w:tr>
      <w:tr w:rsidR="00701F8E" w:rsidTr="00942C0F">
        <w:tc>
          <w:tcPr>
            <w:cnfStyle w:val="001000000000"/>
            <w:tcW w:w="5637" w:type="dxa"/>
          </w:tcPr>
          <w:p w:rsidR="00701F8E" w:rsidRDefault="00701F8E" w:rsidP="00C63DCE">
            <w:pPr>
              <w:jc w:val="both"/>
              <w:rPr>
                <w:sz w:val="22"/>
              </w:rPr>
            </w:pPr>
            <w:r w:rsidRPr="000208BA">
              <w:rPr>
                <w:sz w:val="22"/>
              </w:rPr>
              <w:t xml:space="preserve">Primljeni </w:t>
            </w:r>
            <w:proofErr w:type="spellStart"/>
            <w:r w:rsidRPr="000208BA">
              <w:rPr>
                <w:sz w:val="22"/>
              </w:rPr>
              <w:t>tek</w:t>
            </w:r>
            <w:r w:rsidR="005623F4">
              <w:rPr>
                <w:sz w:val="22"/>
              </w:rPr>
              <w:t>.</w:t>
            </w:r>
            <w:r w:rsidR="00C63DCE">
              <w:rPr>
                <w:sz w:val="22"/>
              </w:rPr>
              <w:t>grantovi</w:t>
            </w:r>
            <w:proofErr w:type="spellEnd"/>
            <w:r w:rsidRPr="000208BA">
              <w:rPr>
                <w:sz w:val="22"/>
              </w:rPr>
              <w:t xml:space="preserve"> od </w:t>
            </w:r>
            <w:proofErr w:type="spellStart"/>
            <w:r w:rsidRPr="000208BA">
              <w:rPr>
                <w:sz w:val="22"/>
              </w:rPr>
              <w:t>FBiH</w:t>
            </w:r>
            <w:proofErr w:type="spellEnd"/>
            <w:r>
              <w:rPr>
                <w:sz w:val="22"/>
              </w:rPr>
              <w:t xml:space="preserve"> – Riznica ŽP – </w:t>
            </w:r>
            <w:proofErr w:type="spellStart"/>
            <w:r>
              <w:rPr>
                <w:sz w:val="22"/>
              </w:rPr>
              <w:t>pror.potpora</w:t>
            </w:r>
            <w:proofErr w:type="spellEnd"/>
          </w:p>
        </w:tc>
        <w:tc>
          <w:tcPr>
            <w:tcW w:w="2409" w:type="dxa"/>
          </w:tcPr>
          <w:p w:rsidR="00701F8E" w:rsidRDefault="00896477" w:rsidP="00942C0F">
            <w:pPr>
              <w:ind w:right="743"/>
              <w:jc w:val="right"/>
              <w:cnfStyle w:val="000000000000"/>
            </w:pPr>
            <w:r>
              <w:t>600.000</w:t>
            </w:r>
          </w:p>
        </w:tc>
        <w:tc>
          <w:tcPr>
            <w:tcW w:w="1242" w:type="dxa"/>
          </w:tcPr>
          <w:p w:rsidR="00701F8E" w:rsidRDefault="00C63DCE" w:rsidP="00A5462F">
            <w:pPr>
              <w:ind w:right="283"/>
              <w:jc w:val="right"/>
              <w:cnfStyle w:val="000000000000"/>
            </w:pPr>
            <w:r>
              <w:t>7,13</w:t>
            </w:r>
          </w:p>
        </w:tc>
      </w:tr>
      <w:tr w:rsidR="00C63DCE" w:rsidTr="00C63DCE">
        <w:trPr>
          <w:cnfStyle w:val="000000100000"/>
        </w:trPr>
        <w:tc>
          <w:tcPr>
            <w:cnfStyle w:val="001000000000"/>
            <w:tcW w:w="5637" w:type="dxa"/>
          </w:tcPr>
          <w:p w:rsidR="00C63DCE" w:rsidRDefault="00C63DCE" w:rsidP="00C63DCE">
            <w:pPr>
              <w:jc w:val="both"/>
              <w:rPr>
                <w:sz w:val="22"/>
              </w:rPr>
            </w:pPr>
            <w:r w:rsidRPr="000208BA">
              <w:rPr>
                <w:sz w:val="22"/>
              </w:rPr>
              <w:t xml:space="preserve">Primljeni </w:t>
            </w:r>
            <w:proofErr w:type="spellStart"/>
            <w:r w:rsidRPr="000208BA">
              <w:rPr>
                <w:sz w:val="22"/>
              </w:rPr>
              <w:t>tek</w:t>
            </w:r>
            <w:r>
              <w:rPr>
                <w:sz w:val="22"/>
              </w:rPr>
              <w:t>.grantovi</w:t>
            </w:r>
            <w:proofErr w:type="spellEnd"/>
            <w:r w:rsidRPr="000208BA">
              <w:rPr>
                <w:sz w:val="22"/>
              </w:rPr>
              <w:t xml:space="preserve"> od </w:t>
            </w:r>
            <w:proofErr w:type="spellStart"/>
            <w:r w:rsidRPr="000208BA">
              <w:rPr>
                <w:sz w:val="22"/>
              </w:rPr>
              <w:t>FBiH</w:t>
            </w:r>
            <w:proofErr w:type="spellEnd"/>
            <w:r>
              <w:rPr>
                <w:sz w:val="22"/>
              </w:rPr>
              <w:t xml:space="preserve"> – Riznica ŽP – MMF</w:t>
            </w:r>
          </w:p>
        </w:tc>
        <w:tc>
          <w:tcPr>
            <w:tcW w:w="2409" w:type="dxa"/>
          </w:tcPr>
          <w:p w:rsidR="00C63DCE" w:rsidRDefault="00C63DCE" w:rsidP="00C63DCE">
            <w:pPr>
              <w:ind w:right="743"/>
              <w:jc w:val="right"/>
              <w:cnfStyle w:val="000000100000"/>
            </w:pPr>
            <w:r>
              <w:t>7.601.971</w:t>
            </w:r>
          </w:p>
        </w:tc>
        <w:tc>
          <w:tcPr>
            <w:tcW w:w="1242" w:type="dxa"/>
          </w:tcPr>
          <w:p w:rsidR="00C63DCE" w:rsidRDefault="00C63DCE" w:rsidP="00C63DCE">
            <w:pPr>
              <w:ind w:right="283"/>
              <w:jc w:val="right"/>
              <w:cnfStyle w:val="000000100000"/>
            </w:pPr>
            <w:r>
              <w:t>90,38</w:t>
            </w:r>
          </w:p>
        </w:tc>
      </w:tr>
      <w:tr w:rsidR="00A1594C" w:rsidTr="00942C0F">
        <w:tc>
          <w:tcPr>
            <w:cnfStyle w:val="001000000000"/>
            <w:tcW w:w="5637" w:type="dxa"/>
          </w:tcPr>
          <w:p w:rsidR="00A1594C" w:rsidRPr="000208BA" w:rsidRDefault="00896477" w:rsidP="00896477">
            <w:pPr>
              <w:jc w:val="both"/>
              <w:rPr>
                <w:sz w:val="22"/>
              </w:rPr>
            </w:pPr>
            <w:r>
              <w:rPr>
                <w:sz w:val="22"/>
              </w:rPr>
              <w:t>Grant</w:t>
            </w:r>
            <w:r w:rsidR="00A1594C">
              <w:rPr>
                <w:sz w:val="22"/>
              </w:rPr>
              <w:t xml:space="preserve"> od </w:t>
            </w:r>
            <w:r>
              <w:rPr>
                <w:sz w:val="22"/>
              </w:rPr>
              <w:t xml:space="preserve">Službe </w:t>
            </w:r>
            <w:r w:rsidR="00A1594C">
              <w:rPr>
                <w:sz w:val="22"/>
              </w:rPr>
              <w:t xml:space="preserve">za </w:t>
            </w:r>
            <w:r>
              <w:rPr>
                <w:sz w:val="22"/>
              </w:rPr>
              <w:t>u</w:t>
            </w:r>
            <w:r w:rsidR="00A1594C">
              <w:rPr>
                <w:sz w:val="22"/>
              </w:rPr>
              <w:t>pošljavanje</w:t>
            </w:r>
            <w:r>
              <w:rPr>
                <w:sz w:val="22"/>
              </w:rPr>
              <w:t xml:space="preserve"> ŽP</w:t>
            </w:r>
            <w:r w:rsidR="00A1594C">
              <w:rPr>
                <w:sz w:val="22"/>
              </w:rPr>
              <w:t xml:space="preserve"> – osnovne škole</w:t>
            </w:r>
          </w:p>
        </w:tc>
        <w:tc>
          <w:tcPr>
            <w:tcW w:w="2409" w:type="dxa"/>
          </w:tcPr>
          <w:p w:rsidR="00A1594C" w:rsidRDefault="006B5233" w:rsidP="00942C0F">
            <w:pPr>
              <w:ind w:right="743"/>
              <w:jc w:val="right"/>
              <w:cnfStyle w:val="000000000000"/>
            </w:pPr>
            <w:r>
              <w:t>10.800</w:t>
            </w:r>
          </w:p>
        </w:tc>
        <w:tc>
          <w:tcPr>
            <w:tcW w:w="1242" w:type="dxa"/>
          </w:tcPr>
          <w:p w:rsidR="00A1594C" w:rsidRDefault="00C63DCE" w:rsidP="00A5462F">
            <w:pPr>
              <w:ind w:right="283"/>
              <w:jc w:val="right"/>
              <w:cnfStyle w:val="000000000000"/>
            </w:pPr>
            <w:r>
              <w:t>0,13</w:t>
            </w:r>
          </w:p>
        </w:tc>
      </w:tr>
      <w:tr w:rsidR="00C63DCE" w:rsidTr="00942C0F">
        <w:trPr>
          <w:cnfStyle w:val="000000100000"/>
        </w:trPr>
        <w:tc>
          <w:tcPr>
            <w:cnfStyle w:val="001000000000"/>
            <w:tcW w:w="5637" w:type="dxa"/>
          </w:tcPr>
          <w:p w:rsidR="00C63DCE" w:rsidRDefault="00C63DCE" w:rsidP="00896477">
            <w:pPr>
              <w:jc w:val="both"/>
              <w:rPr>
                <w:sz w:val="22"/>
              </w:rPr>
            </w:pPr>
            <w:r>
              <w:rPr>
                <w:sz w:val="22"/>
              </w:rPr>
              <w:t>Domaće donacije – Riznica ŽP</w:t>
            </w:r>
          </w:p>
        </w:tc>
        <w:tc>
          <w:tcPr>
            <w:tcW w:w="2409" w:type="dxa"/>
          </w:tcPr>
          <w:p w:rsidR="00C63DCE" w:rsidRDefault="00C63DCE" w:rsidP="00942C0F">
            <w:pPr>
              <w:ind w:right="743"/>
              <w:jc w:val="right"/>
              <w:cnfStyle w:val="000000100000"/>
            </w:pPr>
            <w:r>
              <w:t>227</w:t>
            </w:r>
          </w:p>
        </w:tc>
        <w:tc>
          <w:tcPr>
            <w:tcW w:w="1242" w:type="dxa"/>
          </w:tcPr>
          <w:p w:rsidR="00C63DCE" w:rsidRDefault="00C63DCE" w:rsidP="00A5462F">
            <w:pPr>
              <w:ind w:right="283"/>
              <w:jc w:val="right"/>
              <w:cnfStyle w:val="000000100000"/>
            </w:pPr>
            <w:r>
              <w:t>0,00</w:t>
            </w:r>
          </w:p>
        </w:tc>
      </w:tr>
      <w:tr w:rsidR="009554E4" w:rsidRPr="00FD3224" w:rsidTr="00612567">
        <w:tc>
          <w:tcPr>
            <w:cnfStyle w:val="001000000000"/>
            <w:tcW w:w="5637" w:type="dxa"/>
          </w:tcPr>
          <w:p w:rsidR="009554E4" w:rsidRPr="00FD3224" w:rsidRDefault="009554E4" w:rsidP="00612567">
            <w:pPr>
              <w:jc w:val="both"/>
              <w:rPr>
                <w:b/>
              </w:rPr>
            </w:pPr>
            <w:r w:rsidRPr="00FD3224">
              <w:rPr>
                <w:b/>
              </w:rPr>
              <w:t>UKUPNO:</w:t>
            </w:r>
          </w:p>
        </w:tc>
        <w:tc>
          <w:tcPr>
            <w:tcW w:w="2409" w:type="dxa"/>
            <w:vAlign w:val="center"/>
          </w:tcPr>
          <w:p w:rsidR="009554E4" w:rsidRPr="00FD3224" w:rsidRDefault="002B4957" w:rsidP="00612567">
            <w:pPr>
              <w:ind w:right="743"/>
              <w:jc w:val="right"/>
              <w:cnfStyle w:val="000000000000"/>
              <w:rPr>
                <w:b/>
              </w:rPr>
            </w:pPr>
            <w:r>
              <w:rPr>
                <w:b/>
              </w:rPr>
              <w:fldChar w:fldCharType="begin"/>
            </w:r>
            <w:r w:rsidR="00C63DCE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63DCE">
              <w:rPr>
                <w:b/>
                <w:noProof/>
              </w:rPr>
              <w:t>8.411.529</w:t>
            </w:r>
            <w:r>
              <w:rPr>
                <w:b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9554E4" w:rsidRPr="00FD3224" w:rsidRDefault="002B4957" w:rsidP="00A5462F">
            <w:pPr>
              <w:ind w:right="283"/>
              <w:jc w:val="right"/>
              <w:cnfStyle w:val="000000000000"/>
              <w:rPr>
                <w:b/>
              </w:rPr>
            </w:pPr>
            <w:r>
              <w:rPr>
                <w:b/>
              </w:rPr>
              <w:fldChar w:fldCharType="begin"/>
            </w:r>
            <w:r w:rsidR="00C63DCE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C63DCE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C63DCE">
              <w:rPr>
                <w:b/>
              </w:rPr>
              <w:t>,00</w:t>
            </w:r>
          </w:p>
        </w:tc>
      </w:tr>
    </w:tbl>
    <w:p w:rsidR="009554E4" w:rsidRDefault="009554E4" w:rsidP="009554E4">
      <w:pPr>
        <w:pStyle w:val="Uvuenotijeloteksta"/>
        <w:spacing w:before="120" w:line="240" w:lineRule="auto"/>
        <w:ind w:firstLine="0"/>
        <w:jc w:val="center"/>
        <w:rPr>
          <w:b/>
          <w:bCs/>
          <w:i/>
        </w:rPr>
      </w:pPr>
      <w:r>
        <w:rPr>
          <w:noProof/>
          <w:lang w:eastAsia="hr-HR"/>
        </w:rPr>
        <w:drawing>
          <wp:inline distT="0" distB="0" distL="0" distR="0">
            <wp:extent cx="3968750" cy="1570566"/>
            <wp:effectExtent l="1905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554E4" w:rsidRDefault="009554E4" w:rsidP="009554E4">
      <w:pPr>
        <w:jc w:val="both"/>
        <w:rPr>
          <w:sz w:val="20"/>
          <w:szCs w:val="20"/>
        </w:rPr>
      </w:pPr>
      <w:r w:rsidRPr="00F56197">
        <w:rPr>
          <w:sz w:val="20"/>
          <w:szCs w:val="20"/>
        </w:rPr>
        <w:t xml:space="preserve">Graf </w:t>
      </w:r>
      <w:r w:rsidR="00A832B5">
        <w:rPr>
          <w:sz w:val="20"/>
          <w:szCs w:val="20"/>
        </w:rPr>
        <w:t>9</w:t>
      </w:r>
      <w:r>
        <w:rPr>
          <w:sz w:val="20"/>
          <w:szCs w:val="20"/>
        </w:rPr>
        <w:t xml:space="preserve">.Struktura ostvarenih tekućih </w:t>
      </w:r>
      <w:proofErr w:type="spellStart"/>
      <w:r w:rsidR="00B50337">
        <w:rPr>
          <w:sz w:val="20"/>
          <w:szCs w:val="20"/>
        </w:rPr>
        <w:t>grantova</w:t>
      </w:r>
      <w:proofErr w:type="spellEnd"/>
      <w:r w:rsidRPr="00F56197">
        <w:rPr>
          <w:sz w:val="20"/>
          <w:szCs w:val="20"/>
        </w:rPr>
        <w:t xml:space="preserve"> Proračuna Županije Posavske u razdoblju 01.01.-</w:t>
      </w:r>
      <w:r w:rsidR="006B5233">
        <w:rPr>
          <w:sz w:val="20"/>
          <w:szCs w:val="20"/>
        </w:rPr>
        <w:t>30</w:t>
      </w:r>
      <w:r w:rsidRPr="00F56197">
        <w:rPr>
          <w:sz w:val="20"/>
          <w:szCs w:val="20"/>
        </w:rPr>
        <w:t>.0</w:t>
      </w:r>
      <w:r w:rsidR="00C63DCE">
        <w:rPr>
          <w:sz w:val="20"/>
          <w:szCs w:val="20"/>
        </w:rPr>
        <w:t>9</w:t>
      </w:r>
      <w:r w:rsidRPr="00F56197">
        <w:rPr>
          <w:sz w:val="20"/>
          <w:szCs w:val="20"/>
        </w:rPr>
        <w:t>.20</w:t>
      </w:r>
      <w:r w:rsidR="00896477">
        <w:rPr>
          <w:sz w:val="20"/>
          <w:szCs w:val="20"/>
        </w:rPr>
        <w:t>20</w:t>
      </w:r>
      <w:r w:rsidRPr="00F56197">
        <w:rPr>
          <w:sz w:val="20"/>
          <w:szCs w:val="20"/>
        </w:rPr>
        <w:t>.</w:t>
      </w:r>
      <w:r w:rsidRPr="00FD3224">
        <w:rPr>
          <w:sz w:val="20"/>
          <w:szCs w:val="20"/>
        </w:rPr>
        <w:t xml:space="preserve"> g</w:t>
      </w:r>
      <w:r>
        <w:rPr>
          <w:sz w:val="20"/>
          <w:szCs w:val="20"/>
        </w:rPr>
        <w:t>.</w:t>
      </w:r>
    </w:p>
    <w:p w:rsidR="007219B5" w:rsidRDefault="007219B5" w:rsidP="009554E4">
      <w:pPr>
        <w:pStyle w:val="Uvuenotijeloteksta"/>
        <w:spacing w:before="120" w:line="240" w:lineRule="auto"/>
        <w:ind w:firstLine="0"/>
        <w:rPr>
          <w:b/>
          <w:bCs/>
          <w:i/>
        </w:rPr>
      </w:pPr>
    </w:p>
    <w:p w:rsidR="00B50337" w:rsidRPr="00777A5A" w:rsidRDefault="00AD16F2" w:rsidP="009554E4">
      <w:pPr>
        <w:pStyle w:val="Uvuenotijeloteksta"/>
        <w:spacing w:before="120" w:line="240" w:lineRule="auto"/>
        <w:ind w:firstLine="0"/>
        <w:rPr>
          <w:b/>
          <w:bCs/>
          <w:i/>
        </w:rPr>
      </w:pPr>
      <w:r w:rsidRPr="00777A5A">
        <w:rPr>
          <w:b/>
          <w:bCs/>
          <w:i/>
        </w:rPr>
        <w:t>1</w:t>
      </w:r>
      <w:r w:rsidR="009554E4" w:rsidRPr="00777A5A">
        <w:rPr>
          <w:b/>
          <w:bCs/>
          <w:i/>
        </w:rPr>
        <w:t xml:space="preserve">.4 </w:t>
      </w:r>
      <w:r w:rsidR="009554E4" w:rsidRPr="00777A5A">
        <w:rPr>
          <w:b/>
          <w:bCs/>
          <w:i/>
        </w:rPr>
        <w:tab/>
      </w:r>
      <w:r w:rsidR="00B50337" w:rsidRPr="00777A5A">
        <w:rPr>
          <w:b/>
          <w:bCs/>
          <w:i/>
        </w:rPr>
        <w:t>KAPITALNI GRANTOVI</w:t>
      </w:r>
    </w:p>
    <w:p w:rsidR="00B50337" w:rsidRDefault="00B50337" w:rsidP="009554E4">
      <w:pPr>
        <w:pStyle w:val="Uvuenotijeloteksta"/>
        <w:spacing w:before="120" w:line="240" w:lineRule="auto"/>
        <w:ind w:firstLine="0"/>
        <w:rPr>
          <w:b/>
          <w:bCs/>
          <w:i/>
        </w:rPr>
      </w:pPr>
    </w:p>
    <w:p w:rsidR="00B50337" w:rsidRDefault="00B50337" w:rsidP="00B50337">
      <w:pPr>
        <w:pStyle w:val="Uvuenotijeloteksta"/>
        <w:spacing w:line="240" w:lineRule="auto"/>
        <w:ind w:firstLine="0"/>
      </w:pPr>
      <w:r>
        <w:t xml:space="preserve">Kapitalni </w:t>
      </w:r>
      <w:proofErr w:type="spellStart"/>
      <w:r>
        <w:t>grantovi</w:t>
      </w:r>
      <w:proofErr w:type="spellEnd"/>
      <w:r>
        <w:t xml:space="preserve"> (kategorija 740000) ostvareni su u iznosu od </w:t>
      </w:r>
      <w:r w:rsidR="007219B5">
        <w:t>367.673 KM</w:t>
      </w:r>
      <w:r>
        <w:t xml:space="preserve">, što iznosi </w:t>
      </w:r>
      <w:r w:rsidR="007219B5">
        <w:t>103,59</w:t>
      </w:r>
      <w:r>
        <w:t xml:space="preserve">% ukupno planiranih kapitalnih </w:t>
      </w:r>
      <w:proofErr w:type="spellStart"/>
      <w:r>
        <w:t>grantova</w:t>
      </w:r>
      <w:proofErr w:type="spellEnd"/>
      <w:r>
        <w:t xml:space="preserve"> u fiskalnoj 20</w:t>
      </w:r>
      <w:r w:rsidR="00896477">
        <w:t>20</w:t>
      </w:r>
      <w:r>
        <w:t>. godini. U odnosu na isto razdoblje 201</w:t>
      </w:r>
      <w:r w:rsidR="00896477">
        <w:t>9</w:t>
      </w:r>
      <w:r>
        <w:t xml:space="preserve">. godine ostvarenje kapitalnih </w:t>
      </w:r>
      <w:proofErr w:type="spellStart"/>
      <w:r w:rsidR="00C44987">
        <w:t>grantova</w:t>
      </w:r>
      <w:proofErr w:type="spellEnd"/>
      <w:r>
        <w:t xml:space="preserve"> je </w:t>
      </w:r>
      <w:r w:rsidR="005623F4">
        <w:t>veće</w:t>
      </w:r>
      <w:r w:rsidR="00E3073B">
        <w:t xml:space="preserve"> za </w:t>
      </w:r>
      <w:r w:rsidR="007219B5">
        <w:t>230.480</w:t>
      </w:r>
      <w:r w:rsidR="00E3073B">
        <w:t xml:space="preserve"> KM</w:t>
      </w:r>
      <w:r>
        <w:t>.</w:t>
      </w:r>
    </w:p>
    <w:p w:rsidR="00B50337" w:rsidRDefault="00B50337" w:rsidP="00B50337">
      <w:pPr>
        <w:pStyle w:val="Uvuenotijeloteksta"/>
        <w:spacing w:line="240" w:lineRule="auto"/>
        <w:ind w:firstLine="0"/>
      </w:pPr>
    </w:p>
    <w:p w:rsidR="005623F4" w:rsidRDefault="00085FA3" w:rsidP="003E3339">
      <w:pPr>
        <w:pStyle w:val="Uvuenotijeloteksta"/>
        <w:spacing w:line="240" w:lineRule="auto"/>
        <w:ind w:firstLine="0"/>
      </w:pPr>
      <w:r>
        <w:t xml:space="preserve">Realizacija kapitalnih </w:t>
      </w:r>
      <w:proofErr w:type="spellStart"/>
      <w:r>
        <w:t>grantova</w:t>
      </w:r>
      <w:proofErr w:type="spellEnd"/>
      <w:r>
        <w:t xml:space="preserve"> u i</w:t>
      </w:r>
      <w:r w:rsidR="003E3339">
        <w:t>zvještajnom razdoblju odnosi se na</w:t>
      </w:r>
      <w:r w:rsidR="005623F4">
        <w:t>:</w:t>
      </w:r>
      <w:r w:rsidR="003E3339">
        <w:t xml:space="preserve"> </w:t>
      </w:r>
    </w:p>
    <w:p w:rsidR="00896477" w:rsidRDefault="005623F4" w:rsidP="005623F4">
      <w:pPr>
        <w:pStyle w:val="Uvuenotijeloteksta"/>
        <w:numPr>
          <w:ilvl w:val="0"/>
          <w:numId w:val="26"/>
        </w:numPr>
        <w:spacing w:line="240" w:lineRule="auto"/>
      </w:pPr>
      <w:r>
        <w:t xml:space="preserve">primljene </w:t>
      </w:r>
      <w:r w:rsidR="00F954B6" w:rsidRPr="00981C9C">
        <w:t xml:space="preserve">kapitalne </w:t>
      </w:r>
      <w:proofErr w:type="spellStart"/>
      <w:r w:rsidR="00F954B6" w:rsidRPr="00981C9C">
        <w:t>grantove</w:t>
      </w:r>
      <w:proofErr w:type="spellEnd"/>
      <w:r w:rsidR="00F954B6" w:rsidRPr="00981C9C">
        <w:t xml:space="preserve"> od </w:t>
      </w:r>
      <w:r>
        <w:t>inozemnih vlada i međunarodnih organizacija</w:t>
      </w:r>
      <w:r w:rsidR="00F954B6" w:rsidRPr="00981C9C">
        <w:t xml:space="preserve"> (potkategorija 74</w:t>
      </w:r>
      <w:r>
        <w:t>1</w:t>
      </w:r>
      <w:r w:rsidR="00F954B6" w:rsidRPr="00981C9C">
        <w:t>000</w:t>
      </w:r>
      <w:r>
        <w:t xml:space="preserve">) u iznosu od </w:t>
      </w:r>
      <w:r w:rsidR="007219B5">
        <w:t>144.788</w:t>
      </w:r>
      <w:r>
        <w:t xml:space="preserve"> KM, i odnose se na</w:t>
      </w:r>
      <w:r w:rsidR="00896477">
        <w:t>:</w:t>
      </w:r>
      <w:r>
        <w:t xml:space="preserve"> </w:t>
      </w:r>
    </w:p>
    <w:p w:rsidR="003E3339" w:rsidRPr="0068322C" w:rsidRDefault="003975BE" w:rsidP="00896477">
      <w:pPr>
        <w:pStyle w:val="Uvuenotijeloteksta"/>
        <w:numPr>
          <w:ilvl w:val="1"/>
          <w:numId w:val="26"/>
        </w:numPr>
        <w:spacing w:line="240" w:lineRule="auto"/>
      </w:pPr>
      <w:r w:rsidRPr="0068322C">
        <w:t xml:space="preserve">kapitalni grant od Središnjeg državnog ureda za Hrvate izvan Republike Hrvatske dodijeljen u 2019. godini Ministarstvu prosvjete, znanosti, kulture i sporta na osnovi Ugovora o financijskoj potpori za provedbu programa/projekta Obnova OŠ Vladimira Nazora Odžak – Sanacija područnih škola </w:t>
      </w:r>
      <w:proofErr w:type="spellStart"/>
      <w:r w:rsidRPr="0068322C">
        <w:t>Potočani</w:t>
      </w:r>
      <w:proofErr w:type="spellEnd"/>
      <w:r w:rsidRPr="0068322C">
        <w:t xml:space="preserve"> i Donji </w:t>
      </w:r>
      <w:proofErr w:type="spellStart"/>
      <w:r w:rsidRPr="0068322C">
        <w:t>Svilaj</w:t>
      </w:r>
      <w:proofErr w:type="spellEnd"/>
      <w:r w:rsidRPr="0068322C">
        <w:t>, broj: 537-02-01/4-19-02 od 06.09.2019. godine, u iznosu od 102.330 KM (400.000 kn) – sredstva su razgraničena na dan 31.12.2019. godine</w:t>
      </w:r>
      <w:r w:rsidR="0068322C" w:rsidRPr="0068322C">
        <w:t>,</w:t>
      </w:r>
      <w:r w:rsidRPr="0068322C">
        <w:t xml:space="preserve"> te u Proračun Županije Posavske za 2020. godinu unesena</w:t>
      </w:r>
      <w:r w:rsidR="0068322C">
        <w:t xml:space="preserve"> i raspoređena</w:t>
      </w:r>
      <w:r w:rsidR="007219B5">
        <w:t xml:space="preserve"> odlukom Vlade ŽP, </w:t>
      </w:r>
    </w:p>
    <w:p w:rsidR="0068322C" w:rsidRDefault="0068322C" w:rsidP="00896477">
      <w:pPr>
        <w:pStyle w:val="Uvuenotijeloteksta"/>
        <w:numPr>
          <w:ilvl w:val="1"/>
          <w:numId w:val="26"/>
        </w:numPr>
        <w:spacing w:line="240" w:lineRule="auto"/>
      </w:pPr>
      <w:r w:rsidRPr="0068322C">
        <w:t xml:space="preserve">kapitalni grant od Središnjeg državnog ureda za obnovu i stambeno zbrinjavanje RH dodijeljen Ministarstvu prosvjete, znanosti, kulture i sporta na osnovi Ugovora o financijskoj potpori za provedbu Programa pomoći Vlade Republike Hrvatske za povratak Hrvata u Bosnu i Hercegovinu u 2019. godini, broj: 510-06-05-01/06-19-02 od 18.12.2019. godine, u iznosu od 30.612 KM (120.000 kn), a u svrhu sufinanciranja obnove sanitarnog čvora sa ciljem </w:t>
      </w:r>
      <w:r w:rsidRPr="0068322C">
        <w:lastRenderedPageBreak/>
        <w:t>omogućavanja pristupačnosti osobama s invaliditetom u Srednjoj školi Pere Zečevića U Odžaku</w:t>
      </w:r>
      <w:r>
        <w:t xml:space="preserve"> – sredstva su u Proračun Županije Posavske unesena</w:t>
      </w:r>
      <w:r w:rsidR="007219B5">
        <w:t xml:space="preserve"> i raspoređena odlukom Vlade ŽP,</w:t>
      </w:r>
    </w:p>
    <w:p w:rsidR="007219B5" w:rsidRPr="004B31E4" w:rsidRDefault="004B31E4" w:rsidP="00896477">
      <w:pPr>
        <w:pStyle w:val="Uvuenotijeloteksta"/>
        <w:numPr>
          <w:ilvl w:val="1"/>
          <w:numId w:val="26"/>
        </w:numPr>
        <w:spacing w:line="240" w:lineRule="auto"/>
      </w:pPr>
      <w:r w:rsidRPr="004B31E4">
        <w:t xml:space="preserve">kapitalni grant od Središnjeg državnog ureda za Hrvate izvan Republike Hrvatske dodijeljen Školskom centru fra Martina Nedića u Orašju na osnovi Ugovora o dodjeli financijske potpore projektu Opremanje informatičkih učionica, broj: 537-02-01/2-20-02 od 23.06.2020. godine u iznosu od </w:t>
      </w:r>
      <w:r w:rsidR="007219B5" w:rsidRPr="004B31E4">
        <w:t>7</w:t>
      </w:r>
      <w:r w:rsidRPr="004B31E4">
        <w:t>.</w:t>
      </w:r>
      <w:r w:rsidR="007219B5" w:rsidRPr="004B31E4">
        <w:t>309</w:t>
      </w:r>
      <w:r w:rsidRPr="004B31E4">
        <w:t>,06 KM (29.000 kuna)</w:t>
      </w:r>
      <w:r w:rsidR="007219B5" w:rsidRPr="004B31E4">
        <w:t>, i</w:t>
      </w:r>
    </w:p>
    <w:p w:rsidR="007219B5" w:rsidRPr="004B31E4" w:rsidRDefault="004B31E4" w:rsidP="00896477">
      <w:pPr>
        <w:pStyle w:val="Uvuenotijeloteksta"/>
        <w:numPr>
          <w:ilvl w:val="1"/>
          <w:numId w:val="26"/>
        </w:numPr>
        <w:spacing w:line="240" w:lineRule="auto"/>
      </w:pPr>
      <w:r w:rsidRPr="004B31E4">
        <w:t>kapitalni grant od Središnjeg državnog ureda za Hrvate izvan Republike Hrvatske dodijeljen Osnovnoj školi Stjepana Radića u Boku na osnovi Ugovora o dodjeli financijske potpore projektu Pričam ti priču, broj: 537-02-01/2-20-02 od 23.06.2020. godine u iznosu od 4.536,66 KM (18.000 kuna).</w:t>
      </w:r>
    </w:p>
    <w:p w:rsidR="00777A5A" w:rsidRDefault="005623F4" w:rsidP="005623F4">
      <w:pPr>
        <w:pStyle w:val="Uvuenotijeloteksta"/>
        <w:numPr>
          <w:ilvl w:val="0"/>
          <w:numId w:val="26"/>
        </w:numPr>
        <w:spacing w:line="240" w:lineRule="auto"/>
      </w:pPr>
      <w:r>
        <w:t xml:space="preserve">kapitalne </w:t>
      </w:r>
      <w:proofErr w:type="spellStart"/>
      <w:r>
        <w:t>grantove</w:t>
      </w:r>
      <w:proofErr w:type="spellEnd"/>
      <w:r>
        <w:t xml:space="preserve"> od ostalih razina vlasti </w:t>
      </w:r>
      <w:r w:rsidRPr="00981C9C">
        <w:t>(potkategorija 74</w:t>
      </w:r>
      <w:r>
        <w:t>2</w:t>
      </w:r>
      <w:r w:rsidRPr="00981C9C">
        <w:t>000</w:t>
      </w:r>
      <w:r>
        <w:t>)</w:t>
      </w:r>
      <w:r w:rsidR="00F03811">
        <w:t xml:space="preserve"> u ukupnom iznosu od </w:t>
      </w:r>
      <w:r w:rsidR="007219B5">
        <w:t>222</w:t>
      </w:r>
      <w:r w:rsidR="00777A5A">
        <w:t>.</w:t>
      </w:r>
      <w:r w:rsidR="007219B5">
        <w:t>885</w:t>
      </w:r>
      <w:r w:rsidR="00F03811">
        <w:t xml:space="preserve"> KM, </w:t>
      </w:r>
      <w:r w:rsidR="003975BE">
        <w:t>a odnosi se na</w:t>
      </w:r>
      <w:r w:rsidR="00777A5A">
        <w:t>:</w:t>
      </w:r>
      <w:r w:rsidR="003975BE">
        <w:t xml:space="preserve"> </w:t>
      </w:r>
    </w:p>
    <w:p w:rsidR="00674CF7" w:rsidRDefault="00777A5A" w:rsidP="00777A5A">
      <w:pPr>
        <w:pStyle w:val="Uvuenotijeloteksta"/>
        <w:numPr>
          <w:ilvl w:val="1"/>
          <w:numId w:val="26"/>
        </w:numPr>
        <w:spacing w:line="240" w:lineRule="auto"/>
      </w:pPr>
      <w:r>
        <w:t xml:space="preserve">kapitalne </w:t>
      </w:r>
      <w:proofErr w:type="spellStart"/>
      <w:r>
        <w:t>grantove</w:t>
      </w:r>
      <w:proofErr w:type="spellEnd"/>
      <w:r>
        <w:t xml:space="preserve"> od ostalih razina vlasti i fondova (</w:t>
      </w:r>
      <w:r w:rsidR="00674CF7">
        <w:t xml:space="preserve">glavna grupa 742100) u ukupnom iznosu od </w:t>
      </w:r>
      <w:r w:rsidR="007219B5">
        <w:t>217</w:t>
      </w:r>
      <w:r w:rsidR="00674CF7">
        <w:t>.</w:t>
      </w:r>
      <w:r w:rsidR="007219B5">
        <w:t>286</w:t>
      </w:r>
      <w:r w:rsidR="00674CF7">
        <w:t xml:space="preserve"> KM, i to:</w:t>
      </w:r>
    </w:p>
    <w:p w:rsidR="00777A5A" w:rsidRDefault="00674CF7" w:rsidP="00777A5A">
      <w:pPr>
        <w:pStyle w:val="Uvuenotijeloteksta"/>
        <w:numPr>
          <w:ilvl w:val="2"/>
          <w:numId w:val="26"/>
        </w:numPr>
        <w:spacing w:line="240" w:lineRule="auto"/>
      </w:pPr>
      <w:r>
        <w:t xml:space="preserve">kapitalni grant </w:t>
      </w:r>
      <w:r w:rsidR="00777A5A">
        <w:t>od Federalnog ministarstva obrazovanja i nauke dodijeljen Ministarstvu prosvjete, znanosti, kulture i sporta Županije na temelju Ugovora o sufinanciranju projekta „</w:t>
      </w:r>
      <w:proofErr w:type="spellStart"/>
      <w:r w:rsidR="00777A5A">
        <w:t>Utopljavanje</w:t>
      </w:r>
      <w:proofErr w:type="spellEnd"/>
      <w:r w:rsidR="00777A5A">
        <w:t xml:space="preserve"> Osnovne škole „Vladimir Nazor“ Odžak, Područna škola Posavska Mahala“, broj: 06-38-1002/19 od 23.08.2019. godine u iznosu od 50.000 KM – sredstva su pristigla u 2019. godini i razgraničena na dan 31.12.2019. godine,</w:t>
      </w:r>
    </w:p>
    <w:p w:rsidR="00777A5A" w:rsidRDefault="00674CF7" w:rsidP="00777A5A">
      <w:pPr>
        <w:pStyle w:val="Uvuenotijeloteksta"/>
        <w:numPr>
          <w:ilvl w:val="2"/>
          <w:numId w:val="26"/>
        </w:numPr>
        <w:spacing w:line="240" w:lineRule="auto"/>
      </w:pPr>
      <w:r>
        <w:t xml:space="preserve">kapitalni grant od Federalnog ministarstva obrazovanja i nauke dodijeljen Ministarstvu prosvjete, znanosti, kulture i sporta Županije </w:t>
      </w:r>
      <w:r w:rsidR="00777A5A">
        <w:t>na temelju Ugovora o sufinanciranju projekta „</w:t>
      </w:r>
      <w:proofErr w:type="spellStart"/>
      <w:r w:rsidR="00777A5A">
        <w:t>Utopljavanje</w:t>
      </w:r>
      <w:proofErr w:type="spellEnd"/>
      <w:r w:rsidR="00777A5A">
        <w:t xml:space="preserve"> Srednje škole „Pero Zečević“ Odžak, broj: 06-38-1003/19 od 23.08.2019. godine u iznosu od 50.000 KM – sredstva su pristigla u 2019. godini i razgraničena na dan 31.12.2019. godine,</w:t>
      </w:r>
    </w:p>
    <w:p w:rsidR="00777A5A" w:rsidRDefault="00674CF7" w:rsidP="00777A5A">
      <w:pPr>
        <w:pStyle w:val="Uvuenotijeloteksta"/>
        <w:numPr>
          <w:ilvl w:val="2"/>
          <w:numId w:val="26"/>
        </w:numPr>
        <w:spacing w:line="240" w:lineRule="auto"/>
      </w:pPr>
      <w:r>
        <w:t xml:space="preserve">kapitalni grant od Federalnog ministarstva obrazovanja i nauke dodijeljen Ministarstvu prosvjete, znanosti, kulture i sporta Županije </w:t>
      </w:r>
      <w:r w:rsidR="00777A5A">
        <w:t>na temelju Ugovora o sufinanciranju projekta „</w:t>
      </w:r>
      <w:proofErr w:type="spellStart"/>
      <w:r w:rsidR="00777A5A">
        <w:t>Utopljavanje</w:t>
      </w:r>
      <w:proofErr w:type="spellEnd"/>
      <w:r w:rsidR="00777A5A">
        <w:t xml:space="preserve"> OŠ „Vladimir Nazor“ Odžak, područna škola Novo Selo“, broj: 06-34-360/20 od 02.04.2020. godine u iznosu od 50.000 KM, i</w:t>
      </w:r>
    </w:p>
    <w:p w:rsidR="00777A5A" w:rsidRDefault="00674CF7" w:rsidP="00777A5A">
      <w:pPr>
        <w:pStyle w:val="Uvuenotijeloteksta"/>
        <w:numPr>
          <w:ilvl w:val="2"/>
          <w:numId w:val="26"/>
        </w:numPr>
        <w:spacing w:line="240" w:lineRule="auto"/>
      </w:pPr>
      <w:r>
        <w:t xml:space="preserve">kapitalni grant od Federalnog ministarstva obrazovanja i nauke dodijeljen Ministarstvu prosvjete, znanosti, kulture i sporta Županije </w:t>
      </w:r>
      <w:r w:rsidR="00777A5A">
        <w:t>na temelju Ugovora o sufinanciranju projekta „</w:t>
      </w:r>
      <w:proofErr w:type="spellStart"/>
      <w:r w:rsidR="00777A5A">
        <w:t>Utopljavanje</w:t>
      </w:r>
      <w:proofErr w:type="spellEnd"/>
      <w:r w:rsidR="00777A5A">
        <w:t xml:space="preserve"> objekta školske dvorane OŠ „Vladimir Nazor“ Odžak“, broj: 06-34-361/20 od 02.04.2020. godine u iznosu od 50.000 KM;</w:t>
      </w:r>
    </w:p>
    <w:p w:rsidR="005623F4" w:rsidRDefault="003975BE" w:rsidP="00674CF7">
      <w:pPr>
        <w:pStyle w:val="Uvuenotijeloteksta"/>
        <w:numPr>
          <w:ilvl w:val="2"/>
          <w:numId w:val="26"/>
        </w:numPr>
        <w:spacing w:line="240" w:lineRule="auto"/>
      </w:pPr>
      <w:r>
        <w:t>kapitalni grant od Federalnog ministarstva obrazovanja i nauke dodijeljen Ministarstvu prosvjete, znanosti, kulture i sporta u 2019. godini u iznosu od 11.852,00 KM na osnovi Ugovora o financiranju projekata iz oblasti „Podrška projektima poboljšanja kvalitete praktične nastave u srednjem obrazovanju“, broj: 06-38-606-4/19 (za projekt Opremanje radionice za provođenje praktične nastave u Srednjoj školi Pere Zečevića Odžak) – sredstva su razgran</w:t>
      </w:r>
      <w:r w:rsidR="008563B4">
        <w:t>ičena na dan 31.12.2019. godine</w:t>
      </w:r>
      <w:r w:rsidR="0068322C">
        <w:t>,</w:t>
      </w:r>
      <w:r w:rsidR="008563B4">
        <w:t xml:space="preserve"> </w:t>
      </w:r>
      <w:r w:rsidR="0068322C">
        <w:t>te</w:t>
      </w:r>
      <w:r w:rsidR="008563B4">
        <w:t xml:space="preserve"> u Proračun Županije Posavske za 2020.</w:t>
      </w:r>
      <w:r w:rsidR="0068322C">
        <w:t xml:space="preserve"> unesena i raspoređena</w:t>
      </w:r>
      <w:r w:rsidR="007219B5">
        <w:t xml:space="preserve"> odlukom Vlade ŽP, </w:t>
      </w:r>
    </w:p>
    <w:p w:rsidR="007219B5" w:rsidRPr="004B31E4" w:rsidRDefault="004B31E4" w:rsidP="00674CF7">
      <w:pPr>
        <w:pStyle w:val="Uvuenotijeloteksta"/>
        <w:numPr>
          <w:ilvl w:val="2"/>
          <w:numId w:val="26"/>
        </w:numPr>
        <w:spacing w:line="240" w:lineRule="auto"/>
      </w:pPr>
      <w:r w:rsidRPr="004B31E4">
        <w:t xml:space="preserve">kapitalni grant od Općine Orašje dodijeljen Školskom centru fra Martina Nedića u Orašju na osnovu Odluke o raspodjeli jednokratne </w:t>
      </w:r>
      <w:r w:rsidRPr="004B31E4">
        <w:lastRenderedPageBreak/>
        <w:t xml:space="preserve">novčane pomoći za saniranje dijela šteta nastalih tijekom elementarne nepogode – olujno nevrijeme, 07.07.2019. na području općine Orašje („Službeni glasnik Općine Orašje“, broj: 2/20) u iznosu od </w:t>
      </w:r>
      <w:r w:rsidR="007219B5" w:rsidRPr="004B31E4">
        <w:t>5.43</w:t>
      </w:r>
      <w:r w:rsidRPr="004B31E4">
        <w:t>3,76 KM</w:t>
      </w:r>
      <w:r w:rsidR="007219B5" w:rsidRPr="004B31E4">
        <w:t>; i</w:t>
      </w:r>
    </w:p>
    <w:p w:rsidR="00777A5A" w:rsidRDefault="00777A5A" w:rsidP="00777A5A">
      <w:pPr>
        <w:pStyle w:val="Uvuenotijeloteksta"/>
        <w:numPr>
          <w:ilvl w:val="0"/>
          <w:numId w:val="26"/>
        </w:numPr>
        <w:spacing w:line="240" w:lineRule="auto"/>
      </w:pPr>
      <w:r>
        <w:t xml:space="preserve">kapitalne </w:t>
      </w:r>
      <w:proofErr w:type="spellStart"/>
      <w:r>
        <w:t>grantove</w:t>
      </w:r>
      <w:proofErr w:type="spellEnd"/>
      <w:r>
        <w:t xml:space="preserve"> od nevladinih izvora </w:t>
      </w:r>
      <w:r w:rsidRPr="00981C9C">
        <w:t>(</w:t>
      </w:r>
      <w:r w:rsidR="00674CF7">
        <w:t>glavna grupa</w:t>
      </w:r>
      <w:r w:rsidRPr="00981C9C">
        <w:t xml:space="preserve"> 74</w:t>
      </w:r>
      <w:r>
        <w:t>2</w:t>
      </w:r>
      <w:r w:rsidR="00674CF7">
        <w:t>2</w:t>
      </w:r>
      <w:r w:rsidRPr="00981C9C">
        <w:t>00</w:t>
      </w:r>
      <w:r>
        <w:t xml:space="preserve">) u iznosu od </w:t>
      </w:r>
      <w:r w:rsidR="00674CF7">
        <w:t xml:space="preserve">5.599 KM, a odnosi se na financijsku potporu projektu „Unapređenje dostupnosti i kvalitete obrazovanja za vrijeme COVID-19 </w:t>
      </w:r>
      <w:proofErr w:type="spellStart"/>
      <w:r w:rsidR="00674CF7">
        <w:t>pandemije</w:t>
      </w:r>
      <w:proofErr w:type="spellEnd"/>
      <w:r w:rsidR="00674CF7">
        <w:t xml:space="preserve"> – nabavka opreme za školsko osoblje u svrhu realizacije </w:t>
      </w:r>
      <w:proofErr w:type="spellStart"/>
      <w:r w:rsidR="00674CF7">
        <w:t>online</w:t>
      </w:r>
      <w:proofErr w:type="spellEnd"/>
      <w:r w:rsidR="00674CF7">
        <w:t xml:space="preserve"> nastave“ dodijeljenu Ministarstvu prosvjete, znanosti, kulture i sporta od UNICEF-a.</w:t>
      </w:r>
    </w:p>
    <w:p w:rsidR="00A327CC" w:rsidRDefault="00A327CC" w:rsidP="001962F8">
      <w:pPr>
        <w:pStyle w:val="Uvuenotijeloteksta"/>
        <w:spacing w:line="240" w:lineRule="auto"/>
        <w:ind w:firstLine="0"/>
      </w:pPr>
    </w:p>
    <w:p w:rsidR="00B50337" w:rsidRDefault="00B50337" w:rsidP="00B50337">
      <w:pPr>
        <w:jc w:val="both"/>
        <w:rPr>
          <w:szCs w:val="24"/>
        </w:rPr>
      </w:pPr>
      <w:r>
        <w:rPr>
          <w:szCs w:val="24"/>
        </w:rPr>
        <w:t xml:space="preserve">Slijedi tablični i grafički prikaz strukture ostvarenih kapitalnih </w:t>
      </w:r>
      <w:proofErr w:type="spellStart"/>
      <w:r w:rsidR="004571E7">
        <w:rPr>
          <w:szCs w:val="24"/>
        </w:rPr>
        <w:t>grantova</w:t>
      </w:r>
      <w:proofErr w:type="spellEnd"/>
      <w:r>
        <w:rPr>
          <w:szCs w:val="24"/>
        </w:rPr>
        <w:t xml:space="preserve"> Proračuna Županije Posavske u razdoblju 01.01.-</w:t>
      </w:r>
      <w:r w:rsidR="00674CF7">
        <w:rPr>
          <w:szCs w:val="24"/>
        </w:rPr>
        <w:t>30</w:t>
      </w:r>
      <w:r>
        <w:rPr>
          <w:szCs w:val="24"/>
        </w:rPr>
        <w:t>.</w:t>
      </w:r>
      <w:r w:rsidR="0068322C">
        <w:rPr>
          <w:szCs w:val="24"/>
        </w:rPr>
        <w:t>0</w:t>
      </w:r>
      <w:r w:rsidR="007219B5">
        <w:rPr>
          <w:szCs w:val="24"/>
        </w:rPr>
        <w:t>9</w:t>
      </w:r>
      <w:r>
        <w:rPr>
          <w:szCs w:val="24"/>
        </w:rPr>
        <w:t>.20</w:t>
      </w:r>
      <w:r w:rsidR="0068322C">
        <w:rPr>
          <w:szCs w:val="24"/>
        </w:rPr>
        <w:t>20</w:t>
      </w:r>
      <w:r>
        <w:rPr>
          <w:szCs w:val="24"/>
        </w:rPr>
        <w:t>. godine.</w:t>
      </w:r>
    </w:p>
    <w:p w:rsidR="00FC5F2A" w:rsidRDefault="00FC5F2A" w:rsidP="00B50337">
      <w:pPr>
        <w:jc w:val="both"/>
        <w:rPr>
          <w:sz w:val="20"/>
          <w:szCs w:val="20"/>
        </w:rPr>
      </w:pPr>
    </w:p>
    <w:p w:rsidR="00B50337" w:rsidRPr="00FD3224" w:rsidRDefault="00B50337" w:rsidP="00B50337">
      <w:pPr>
        <w:jc w:val="both"/>
        <w:rPr>
          <w:sz w:val="20"/>
          <w:szCs w:val="20"/>
        </w:rPr>
      </w:pPr>
      <w:r w:rsidRPr="00F61D9F">
        <w:rPr>
          <w:sz w:val="20"/>
          <w:szCs w:val="20"/>
        </w:rPr>
        <w:t xml:space="preserve">Tablica </w:t>
      </w:r>
      <w:r w:rsidR="00A832B5" w:rsidRPr="00F61D9F">
        <w:rPr>
          <w:sz w:val="20"/>
          <w:szCs w:val="20"/>
        </w:rPr>
        <w:t>9</w:t>
      </w:r>
      <w:r w:rsidRPr="00F61D9F">
        <w:rPr>
          <w:sz w:val="20"/>
          <w:szCs w:val="20"/>
        </w:rPr>
        <w:t xml:space="preserve">. Struktura ostvarenih kapitalnih </w:t>
      </w:r>
      <w:proofErr w:type="spellStart"/>
      <w:r w:rsidR="004571E7" w:rsidRPr="00F61D9F">
        <w:rPr>
          <w:sz w:val="20"/>
          <w:szCs w:val="20"/>
        </w:rPr>
        <w:t>grantova</w:t>
      </w:r>
      <w:proofErr w:type="spellEnd"/>
      <w:r w:rsidRPr="00F61D9F">
        <w:rPr>
          <w:sz w:val="20"/>
          <w:szCs w:val="20"/>
        </w:rPr>
        <w:t xml:space="preserve"> Proračuna </w:t>
      </w:r>
      <w:proofErr w:type="spellStart"/>
      <w:r w:rsidRPr="00F61D9F">
        <w:rPr>
          <w:sz w:val="20"/>
          <w:szCs w:val="20"/>
        </w:rPr>
        <w:t>Žup.Posavske</w:t>
      </w:r>
      <w:proofErr w:type="spellEnd"/>
      <w:r w:rsidRPr="00F61D9F">
        <w:rPr>
          <w:sz w:val="20"/>
          <w:szCs w:val="20"/>
        </w:rPr>
        <w:t xml:space="preserve"> u razdoblju 01.01.-</w:t>
      </w:r>
      <w:r w:rsidR="00674CF7">
        <w:rPr>
          <w:sz w:val="20"/>
          <w:szCs w:val="20"/>
        </w:rPr>
        <w:t>30</w:t>
      </w:r>
      <w:r w:rsidRPr="00F61D9F">
        <w:rPr>
          <w:sz w:val="20"/>
          <w:szCs w:val="20"/>
        </w:rPr>
        <w:t>.0</w:t>
      </w:r>
      <w:r w:rsidR="007219B5">
        <w:rPr>
          <w:sz w:val="20"/>
          <w:szCs w:val="20"/>
        </w:rPr>
        <w:t>9</w:t>
      </w:r>
      <w:r w:rsidRPr="00F61D9F">
        <w:rPr>
          <w:sz w:val="20"/>
          <w:szCs w:val="20"/>
        </w:rPr>
        <w:t>.20</w:t>
      </w:r>
      <w:r w:rsidR="0068322C">
        <w:rPr>
          <w:sz w:val="20"/>
          <w:szCs w:val="20"/>
        </w:rPr>
        <w:t>20</w:t>
      </w:r>
      <w:r w:rsidRPr="00F61D9F">
        <w:rPr>
          <w:sz w:val="20"/>
          <w:szCs w:val="20"/>
        </w:rPr>
        <w:t>. g.</w:t>
      </w:r>
    </w:p>
    <w:tbl>
      <w:tblPr>
        <w:tblStyle w:val="Srednjipopis21"/>
        <w:tblW w:w="0" w:type="auto"/>
        <w:tblLook w:val="04A0"/>
      </w:tblPr>
      <w:tblGrid>
        <w:gridCol w:w="5637"/>
        <w:gridCol w:w="2409"/>
        <w:gridCol w:w="1242"/>
      </w:tblGrid>
      <w:tr w:rsidR="00344938" w:rsidRPr="00FD3224" w:rsidTr="005614C7">
        <w:trPr>
          <w:cnfStyle w:val="100000000000"/>
        </w:trPr>
        <w:tc>
          <w:tcPr>
            <w:cnfStyle w:val="001000000100"/>
            <w:tcW w:w="5637" w:type="dxa"/>
            <w:vAlign w:val="center"/>
          </w:tcPr>
          <w:p w:rsidR="00B50337" w:rsidRPr="00FD3224" w:rsidRDefault="00B50337" w:rsidP="005614C7">
            <w:pPr>
              <w:rPr>
                <w:b/>
              </w:rPr>
            </w:pPr>
            <w:r w:rsidRPr="00FD3224">
              <w:rPr>
                <w:b/>
              </w:rPr>
              <w:t>OPIS</w:t>
            </w:r>
          </w:p>
        </w:tc>
        <w:tc>
          <w:tcPr>
            <w:tcW w:w="2409" w:type="dxa"/>
          </w:tcPr>
          <w:p w:rsidR="00B50337" w:rsidRPr="00FD3224" w:rsidRDefault="00B50337" w:rsidP="005614C7">
            <w:pPr>
              <w:jc w:val="center"/>
              <w:cnfStyle w:val="100000000000"/>
              <w:rPr>
                <w:b/>
              </w:rPr>
            </w:pPr>
            <w:r w:rsidRPr="00FD3224">
              <w:rPr>
                <w:b/>
              </w:rPr>
              <w:t>Ostvareno</w:t>
            </w:r>
          </w:p>
          <w:p w:rsidR="00B50337" w:rsidRPr="00FD3224" w:rsidRDefault="00B50337" w:rsidP="007219B5">
            <w:pPr>
              <w:jc w:val="center"/>
              <w:cnfStyle w:val="100000000000"/>
              <w:rPr>
                <w:b/>
              </w:rPr>
            </w:pPr>
            <w:r w:rsidRPr="00FD3224">
              <w:rPr>
                <w:b/>
              </w:rPr>
              <w:t>01.01.-</w:t>
            </w:r>
            <w:r w:rsidR="00674CF7">
              <w:rPr>
                <w:b/>
              </w:rPr>
              <w:t>30</w:t>
            </w:r>
            <w:r w:rsidRPr="00FD3224">
              <w:rPr>
                <w:b/>
              </w:rPr>
              <w:t>.0</w:t>
            </w:r>
            <w:r w:rsidR="007219B5">
              <w:rPr>
                <w:b/>
              </w:rPr>
              <w:t>9</w:t>
            </w:r>
            <w:r w:rsidRPr="00FD3224">
              <w:rPr>
                <w:b/>
              </w:rPr>
              <w:t>.20</w:t>
            </w:r>
            <w:r w:rsidR="0068322C">
              <w:rPr>
                <w:b/>
              </w:rPr>
              <w:t>20</w:t>
            </w:r>
            <w:r w:rsidRPr="00FD3224">
              <w:rPr>
                <w:b/>
              </w:rPr>
              <w:t>.g. (u KM)</w:t>
            </w:r>
          </w:p>
        </w:tc>
        <w:tc>
          <w:tcPr>
            <w:tcW w:w="1242" w:type="dxa"/>
          </w:tcPr>
          <w:p w:rsidR="00B50337" w:rsidRDefault="00B50337" w:rsidP="005614C7">
            <w:pPr>
              <w:jc w:val="center"/>
              <w:cnfStyle w:val="100000000000"/>
              <w:rPr>
                <w:b/>
              </w:rPr>
            </w:pPr>
            <w:r w:rsidRPr="00FD3224">
              <w:rPr>
                <w:b/>
              </w:rPr>
              <w:t xml:space="preserve">% </w:t>
            </w:r>
          </w:p>
          <w:p w:rsidR="00B50337" w:rsidRPr="00FD3224" w:rsidRDefault="00B50337" w:rsidP="005614C7">
            <w:pPr>
              <w:jc w:val="center"/>
              <w:cnfStyle w:val="100000000000"/>
              <w:rPr>
                <w:b/>
              </w:rPr>
            </w:pPr>
            <w:r>
              <w:rPr>
                <w:b/>
              </w:rPr>
              <w:t>učešća</w:t>
            </w:r>
          </w:p>
        </w:tc>
      </w:tr>
      <w:tr w:rsidR="002876EF" w:rsidTr="00C81913">
        <w:trPr>
          <w:cnfStyle w:val="000000100000"/>
          <w:trHeight w:val="20"/>
        </w:trPr>
        <w:tc>
          <w:tcPr>
            <w:cnfStyle w:val="001000000000"/>
            <w:tcW w:w="5637" w:type="dxa"/>
            <w:vAlign w:val="center"/>
          </w:tcPr>
          <w:p w:rsidR="002876EF" w:rsidRPr="00F61D9F" w:rsidRDefault="00F03811" w:rsidP="00C8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</w:t>
            </w:r>
            <w:proofErr w:type="spellStart"/>
            <w:r>
              <w:rPr>
                <w:sz w:val="20"/>
                <w:szCs w:val="20"/>
              </w:rPr>
              <w:t>grantovi</w:t>
            </w:r>
            <w:proofErr w:type="spellEnd"/>
            <w:r>
              <w:rPr>
                <w:sz w:val="20"/>
                <w:szCs w:val="20"/>
              </w:rPr>
              <w:t xml:space="preserve"> od inozemnih vlada</w:t>
            </w:r>
            <w:r w:rsidR="007219B5">
              <w:rPr>
                <w:sz w:val="20"/>
                <w:szCs w:val="20"/>
              </w:rPr>
              <w:t xml:space="preserve"> i </w:t>
            </w:r>
            <w:proofErr w:type="spellStart"/>
            <w:r w:rsidR="007219B5">
              <w:rPr>
                <w:sz w:val="20"/>
                <w:szCs w:val="20"/>
              </w:rPr>
              <w:t>međ.organizacija</w:t>
            </w:r>
            <w:proofErr w:type="spellEnd"/>
          </w:p>
        </w:tc>
        <w:tc>
          <w:tcPr>
            <w:tcW w:w="2409" w:type="dxa"/>
            <w:vAlign w:val="center"/>
          </w:tcPr>
          <w:p w:rsidR="002876EF" w:rsidRDefault="007219B5" w:rsidP="00D61B35">
            <w:pPr>
              <w:ind w:right="743"/>
              <w:jc w:val="right"/>
              <w:cnfStyle w:val="000000100000"/>
            </w:pPr>
            <w:r>
              <w:t>144.788</w:t>
            </w:r>
          </w:p>
        </w:tc>
        <w:tc>
          <w:tcPr>
            <w:tcW w:w="1242" w:type="dxa"/>
            <w:vAlign w:val="center"/>
          </w:tcPr>
          <w:p w:rsidR="002876EF" w:rsidRDefault="007219B5" w:rsidP="00D61B35">
            <w:pPr>
              <w:ind w:right="283"/>
              <w:jc w:val="right"/>
              <w:cnfStyle w:val="000000100000"/>
            </w:pPr>
            <w:r>
              <w:t>39,38</w:t>
            </w:r>
          </w:p>
        </w:tc>
      </w:tr>
      <w:tr w:rsidR="00F954B6" w:rsidTr="00C81913">
        <w:trPr>
          <w:trHeight w:val="20"/>
        </w:trPr>
        <w:tc>
          <w:tcPr>
            <w:cnfStyle w:val="001000000000"/>
            <w:tcW w:w="5637" w:type="dxa"/>
            <w:vAlign w:val="center"/>
          </w:tcPr>
          <w:p w:rsidR="00F954B6" w:rsidRDefault="00F03811" w:rsidP="00721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</w:t>
            </w:r>
            <w:proofErr w:type="spellStart"/>
            <w:r>
              <w:rPr>
                <w:sz w:val="20"/>
                <w:szCs w:val="20"/>
              </w:rPr>
              <w:t>grantovi</w:t>
            </w:r>
            <w:proofErr w:type="spellEnd"/>
            <w:r>
              <w:rPr>
                <w:sz w:val="20"/>
                <w:szCs w:val="20"/>
              </w:rPr>
              <w:t xml:space="preserve"> od ostalih razina vlasti</w:t>
            </w:r>
          </w:p>
        </w:tc>
        <w:tc>
          <w:tcPr>
            <w:tcW w:w="2409" w:type="dxa"/>
            <w:vAlign w:val="center"/>
          </w:tcPr>
          <w:p w:rsidR="00F954B6" w:rsidRDefault="007219B5" w:rsidP="00F03811">
            <w:pPr>
              <w:ind w:right="743"/>
              <w:jc w:val="right"/>
              <w:cnfStyle w:val="000000000000"/>
            </w:pPr>
            <w:r>
              <w:t>222.885</w:t>
            </w:r>
          </w:p>
        </w:tc>
        <w:tc>
          <w:tcPr>
            <w:tcW w:w="1242" w:type="dxa"/>
            <w:vAlign w:val="center"/>
          </w:tcPr>
          <w:p w:rsidR="00F954B6" w:rsidRDefault="007219B5" w:rsidP="00F61D9F">
            <w:pPr>
              <w:ind w:right="283"/>
              <w:jc w:val="right"/>
              <w:cnfStyle w:val="000000000000"/>
            </w:pPr>
            <w:r>
              <w:t>60,62</w:t>
            </w:r>
          </w:p>
        </w:tc>
      </w:tr>
      <w:tr w:rsidR="00F954B6" w:rsidRPr="00FD3224" w:rsidTr="005614C7">
        <w:trPr>
          <w:cnfStyle w:val="000000100000"/>
        </w:trPr>
        <w:tc>
          <w:tcPr>
            <w:cnfStyle w:val="001000000000"/>
            <w:tcW w:w="5637" w:type="dxa"/>
          </w:tcPr>
          <w:p w:rsidR="00F954B6" w:rsidRPr="00FD3224" w:rsidRDefault="00F954B6" w:rsidP="005614C7">
            <w:pPr>
              <w:jc w:val="both"/>
              <w:rPr>
                <w:b/>
              </w:rPr>
            </w:pPr>
            <w:r w:rsidRPr="00FD3224">
              <w:rPr>
                <w:b/>
              </w:rPr>
              <w:t>UKUPNO:</w:t>
            </w:r>
          </w:p>
        </w:tc>
        <w:tc>
          <w:tcPr>
            <w:tcW w:w="2409" w:type="dxa"/>
            <w:vAlign w:val="center"/>
          </w:tcPr>
          <w:p w:rsidR="00F954B6" w:rsidRPr="00FD3224" w:rsidRDefault="002B4957" w:rsidP="00F61D9F">
            <w:pPr>
              <w:ind w:right="743"/>
              <w:jc w:val="right"/>
              <w:cnfStyle w:val="000000100000"/>
              <w:rPr>
                <w:b/>
              </w:rPr>
            </w:pPr>
            <w:r>
              <w:rPr>
                <w:b/>
              </w:rPr>
              <w:fldChar w:fldCharType="begin"/>
            </w:r>
            <w:r w:rsidR="007219B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7219B5">
              <w:rPr>
                <w:b/>
                <w:noProof/>
              </w:rPr>
              <w:t>367.673</w:t>
            </w:r>
            <w:r>
              <w:rPr>
                <w:b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F954B6" w:rsidRPr="00FD3224" w:rsidRDefault="002B4957" w:rsidP="005614C7">
            <w:pPr>
              <w:ind w:right="283"/>
              <w:jc w:val="right"/>
              <w:cnfStyle w:val="000000100000"/>
              <w:rPr>
                <w:b/>
              </w:rPr>
            </w:pPr>
            <w:r>
              <w:rPr>
                <w:b/>
              </w:rPr>
              <w:fldChar w:fldCharType="begin"/>
            </w:r>
            <w:r w:rsidR="007219B5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7219B5">
              <w:rPr>
                <w:b/>
                <w:noProof/>
              </w:rPr>
              <w:t>100</w:t>
            </w:r>
            <w:r>
              <w:rPr>
                <w:b/>
              </w:rPr>
              <w:fldChar w:fldCharType="end"/>
            </w:r>
            <w:r w:rsidR="007219B5">
              <w:rPr>
                <w:b/>
              </w:rPr>
              <w:t>,00</w:t>
            </w:r>
          </w:p>
        </w:tc>
      </w:tr>
    </w:tbl>
    <w:p w:rsidR="00B50337" w:rsidRDefault="00DC4830" w:rsidP="00190EF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66675</wp:posOffset>
            </wp:positionV>
            <wp:extent cx="3985260" cy="1676400"/>
            <wp:effectExtent l="19050" t="0" r="0" b="0"/>
            <wp:wrapSquare wrapText="bothSides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="00B50337">
        <w:rPr>
          <w:szCs w:val="24"/>
        </w:rPr>
        <w:br w:type="textWrapping" w:clear="all"/>
      </w:r>
      <w:r w:rsidR="00B50337" w:rsidRPr="00F56197">
        <w:rPr>
          <w:sz w:val="20"/>
          <w:szCs w:val="20"/>
        </w:rPr>
        <w:t xml:space="preserve">Graf </w:t>
      </w:r>
      <w:r w:rsidR="00A832B5">
        <w:rPr>
          <w:sz w:val="20"/>
          <w:szCs w:val="20"/>
        </w:rPr>
        <w:t>10</w:t>
      </w:r>
      <w:r w:rsidR="00B50337">
        <w:rPr>
          <w:sz w:val="20"/>
          <w:szCs w:val="20"/>
        </w:rPr>
        <w:t>.</w:t>
      </w:r>
      <w:r w:rsidR="00344938">
        <w:rPr>
          <w:sz w:val="20"/>
          <w:szCs w:val="20"/>
        </w:rPr>
        <w:t xml:space="preserve"> </w:t>
      </w:r>
      <w:r w:rsidR="00B50337">
        <w:rPr>
          <w:sz w:val="20"/>
          <w:szCs w:val="20"/>
        </w:rPr>
        <w:t xml:space="preserve">Struktura ostvarenih kapitalnih </w:t>
      </w:r>
      <w:proofErr w:type="spellStart"/>
      <w:r w:rsidR="00B7775A">
        <w:rPr>
          <w:sz w:val="20"/>
          <w:szCs w:val="20"/>
        </w:rPr>
        <w:t>grantova</w:t>
      </w:r>
      <w:proofErr w:type="spellEnd"/>
      <w:r w:rsidR="00B50337" w:rsidRPr="00F56197">
        <w:rPr>
          <w:sz w:val="20"/>
          <w:szCs w:val="20"/>
        </w:rPr>
        <w:t xml:space="preserve"> Proračuna </w:t>
      </w:r>
      <w:r w:rsidR="00A832B5">
        <w:rPr>
          <w:sz w:val="20"/>
          <w:szCs w:val="20"/>
        </w:rPr>
        <w:t>ŽP</w:t>
      </w:r>
      <w:r w:rsidR="00B50337" w:rsidRPr="00F56197">
        <w:rPr>
          <w:sz w:val="20"/>
          <w:szCs w:val="20"/>
        </w:rPr>
        <w:t xml:space="preserve"> u razdoblju 01.01.-</w:t>
      </w:r>
      <w:r w:rsidR="00674CF7">
        <w:rPr>
          <w:sz w:val="20"/>
          <w:szCs w:val="20"/>
        </w:rPr>
        <w:t>30</w:t>
      </w:r>
      <w:r w:rsidR="00B50337" w:rsidRPr="00F56197">
        <w:rPr>
          <w:sz w:val="20"/>
          <w:szCs w:val="20"/>
        </w:rPr>
        <w:t>.0</w:t>
      </w:r>
      <w:r w:rsidR="007219B5">
        <w:rPr>
          <w:sz w:val="20"/>
          <w:szCs w:val="20"/>
        </w:rPr>
        <w:t>9</w:t>
      </w:r>
      <w:r w:rsidR="00B50337" w:rsidRPr="00F56197">
        <w:rPr>
          <w:sz w:val="20"/>
          <w:szCs w:val="20"/>
        </w:rPr>
        <w:t>.</w:t>
      </w:r>
      <w:r w:rsidR="0068322C">
        <w:rPr>
          <w:sz w:val="20"/>
          <w:szCs w:val="20"/>
        </w:rPr>
        <w:t>2020</w:t>
      </w:r>
      <w:r w:rsidR="00B50337" w:rsidRPr="00F56197">
        <w:rPr>
          <w:sz w:val="20"/>
          <w:szCs w:val="20"/>
        </w:rPr>
        <w:t>.</w:t>
      </w:r>
      <w:r w:rsidR="00B50337" w:rsidRPr="00FD3224">
        <w:rPr>
          <w:sz w:val="20"/>
          <w:szCs w:val="20"/>
        </w:rPr>
        <w:t xml:space="preserve"> g</w:t>
      </w:r>
      <w:r w:rsidR="00B50337">
        <w:rPr>
          <w:sz w:val="20"/>
          <w:szCs w:val="20"/>
        </w:rPr>
        <w:t>.</w:t>
      </w:r>
    </w:p>
    <w:p w:rsidR="002876EF" w:rsidRDefault="002876EF" w:rsidP="00B7775A">
      <w:pPr>
        <w:pStyle w:val="Uvuenotijeloteksta"/>
        <w:spacing w:before="120" w:line="240" w:lineRule="auto"/>
        <w:ind w:firstLine="0"/>
        <w:rPr>
          <w:b/>
          <w:bCs/>
          <w:i/>
        </w:rPr>
      </w:pPr>
    </w:p>
    <w:p w:rsidR="00B7775A" w:rsidRDefault="00AD16F2" w:rsidP="00B7775A">
      <w:pPr>
        <w:pStyle w:val="Uvuenotijeloteksta"/>
        <w:spacing w:before="120" w:line="240" w:lineRule="auto"/>
        <w:ind w:firstLine="0"/>
        <w:rPr>
          <w:b/>
          <w:bCs/>
          <w:i/>
        </w:rPr>
      </w:pPr>
      <w:r w:rsidRPr="006D5A57">
        <w:rPr>
          <w:b/>
          <w:bCs/>
          <w:i/>
        </w:rPr>
        <w:t>1</w:t>
      </w:r>
      <w:r w:rsidR="00B7775A" w:rsidRPr="006D5A57">
        <w:rPr>
          <w:b/>
          <w:bCs/>
          <w:i/>
        </w:rPr>
        <w:t>.5</w:t>
      </w:r>
      <w:r w:rsidR="00B7775A" w:rsidRPr="006D5A57">
        <w:rPr>
          <w:b/>
          <w:bCs/>
          <w:i/>
        </w:rPr>
        <w:tab/>
        <w:t>PRIHODI PO OSNOVI ZAOSTALIH OBVEZA</w:t>
      </w:r>
    </w:p>
    <w:p w:rsidR="00B7775A" w:rsidRDefault="00B7775A" w:rsidP="00B7775A">
      <w:pPr>
        <w:pStyle w:val="Uvuenotijeloteksta"/>
        <w:spacing w:before="120" w:line="240" w:lineRule="auto"/>
        <w:ind w:firstLine="0"/>
        <w:rPr>
          <w:b/>
          <w:bCs/>
          <w:i/>
        </w:rPr>
      </w:pPr>
    </w:p>
    <w:p w:rsidR="00B7775A" w:rsidRDefault="00B7775A" w:rsidP="00B7775A">
      <w:pPr>
        <w:pStyle w:val="Uvuenotijeloteksta"/>
        <w:spacing w:line="240" w:lineRule="auto"/>
        <w:ind w:firstLine="0"/>
      </w:pPr>
      <w:r>
        <w:t xml:space="preserve">Prihodi po osnovi zaostalih obveza (kategorija 770000) ostvareni su u iznosu od </w:t>
      </w:r>
      <w:r w:rsidR="007219B5">
        <w:t>263</w:t>
      </w:r>
      <w:r>
        <w:t xml:space="preserve"> KM, što </w:t>
      </w:r>
      <w:r w:rsidR="00DC4830">
        <w:t>čini</w:t>
      </w:r>
      <w:r w:rsidR="00F954B6">
        <w:t xml:space="preserve"> </w:t>
      </w:r>
      <w:r w:rsidR="007219B5">
        <w:t>87,67</w:t>
      </w:r>
      <w:r w:rsidR="00DC4830">
        <w:t>%</w:t>
      </w:r>
      <w:r w:rsidR="00F954B6">
        <w:t xml:space="preserve"> </w:t>
      </w:r>
      <w:r>
        <w:t>ukupno planiran</w:t>
      </w:r>
      <w:r w:rsidR="007E7382">
        <w:t>ih</w:t>
      </w:r>
      <w:r>
        <w:t xml:space="preserve"> prihod</w:t>
      </w:r>
      <w:r w:rsidR="007E7382">
        <w:t>a</w:t>
      </w:r>
      <w:r>
        <w:t xml:space="preserve"> po ovoj osnovi u fiskalnoj 20</w:t>
      </w:r>
      <w:r w:rsidR="00ED50F0">
        <w:t>20</w:t>
      </w:r>
      <w:r>
        <w:t>. godini. Ovdje se radi o uplatama zaostalih prihoda od poreza na promet visokotarifnih proizvoda kao i uplatama zaostalih obveza od naknada za putove iz cijene nafte i naftnih derivata</w:t>
      </w:r>
      <w:r w:rsidR="00AD16F2">
        <w:t xml:space="preserve">, koji </w:t>
      </w:r>
      <w:r w:rsidR="0009476C">
        <w:t xml:space="preserve">bi </w:t>
      </w:r>
      <w:r w:rsidR="00AD16F2">
        <w:t xml:space="preserve">se iz godine u godinu </w:t>
      </w:r>
      <w:r w:rsidR="0009476C">
        <w:t xml:space="preserve">trebali </w:t>
      </w:r>
      <w:r w:rsidR="00AD16F2">
        <w:t>smanj</w:t>
      </w:r>
      <w:r w:rsidR="0009476C">
        <w:t>ivati</w:t>
      </w:r>
      <w:r w:rsidR="00AD16F2">
        <w:t>.</w:t>
      </w:r>
      <w:r w:rsidR="006E1E1A">
        <w:t xml:space="preserve"> </w:t>
      </w:r>
    </w:p>
    <w:p w:rsidR="00AD16F2" w:rsidRPr="00617F28" w:rsidRDefault="007E7382" w:rsidP="00674CF7">
      <w:pPr>
        <w:widowControl/>
        <w:rPr>
          <w:b/>
          <w:szCs w:val="24"/>
        </w:rPr>
      </w:pPr>
      <w:r>
        <w:rPr>
          <w:b/>
          <w:szCs w:val="24"/>
        </w:rPr>
        <w:br w:type="page"/>
      </w:r>
      <w:r w:rsidR="00AD16F2" w:rsidRPr="002E41B3">
        <w:rPr>
          <w:b/>
          <w:szCs w:val="24"/>
        </w:rPr>
        <w:lastRenderedPageBreak/>
        <w:t>2</w:t>
      </w:r>
      <w:r w:rsidR="00AD16F2" w:rsidRPr="002E41B3">
        <w:rPr>
          <w:b/>
          <w:szCs w:val="24"/>
        </w:rPr>
        <w:tab/>
      </w:r>
      <w:r w:rsidR="0080656A" w:rsidRPr="002E41B3">
        <w:rPr>
          <w:b/>
          <w:szCs w:val="24"/>
        </w:rPr>
        <w:t>PRORAČUNSKI RASHODI</w:t>
      </w:r>
    </w:p>
    <w:p w:rsidR="00AD16F2" w:rsidRDefault="00AD16F2" w:rsidP="00AD16F2">
      <w:pPr>
        <w:rPr>
          <w:szCs w:val="24"/>
        </w:rPr>
      </w:pPr>
    </w:p>
    <w:p w:rsidR="00AD16F2" w:rsidRDefault="00AD16F2" w:rsidP="00AD16F2">
      <w:pPr>
        <w:pStyle w:val="Uvuenotijeloteksta"/>
        <w:spacing w:line="240" w:lineRule="auto"/>
        <w:ind w:firstLine="0"/>
      </w:pPr>
      <w:r>
        <w:t xml:space="preserve">Ukupni </w:t>
      </w:r>
      <w:r w:rsidR="0080656A">
        <w:t>proračunski rashodi</w:t>
      </w:r>
      <w:r>
        <w:t xml:space="preserve"> </w:t>
      </w:r>
      <w:r w:rsidR="002D77FB">
        <w:t>(uključuju potkategorije: tekuća pričuva – 600000, plaće i naknade troškova zaposlenih – 611000, doprinosi poslodavca i ostali doprinosi – 612000, izdaci za materijal, sitan inventar i usluge – 6130</w:t>
      </w:r>
      <w:r w:rsidR="00266947">
        <w:t>0</w:t>
      </w:r>
      <w:r w:rsidR="002D77FB">
        <w:t xml:space="preserve">0, tekući </w:t>
      </w:r>
      <w:proofErr w:type="spellStart"/>
      <w:r w:rsidR="002D77FB">
        <w:t>grantovi</w:t>
      </w:r>
      <w:proofErr w:type="spellEnd"/>
      <w:r w:rsidR="002D77FB">
        <w:t xml:space="preserve"> i drugi tekući rashodi – 614000, kapitalni </w:t>
      </w:r>
      <w:proofErr w:type="spellStart"/>
      <w:r w:rsidR="002D77FB">
        <w:t>grantovi</w:t>
      </w:r>
      <w:proofErr w:type="spellEnd"/>
      <w:r w:rsidR="002D77FB">
        <w:t xml:space="preserve"> – 615000 i izdaci za kamate - 616000) </w:t>
      </w:r>
      <w:r>
        <w:t>za razdoblje siječanj-</w:t>
      </w:r>
      <w:r w:rsidR="00DC5CDA">
        <w:t>rujan</w:t>
      </w:r>
      <w:r>
        <w:t xml:space="preserve"> 20</w:t>
      </w:r>
      <w:r w:rsidR="007B5E64">
        <w:t>20</w:t>
      </w:r>
      <w:r>
        <w:t xml:space="preserve">.godine izvršeni su u </w:t>
      </w:r>
      <w:r w:rsidRPr="00DC4DEF">
        <w:t xml:space="preserve">iznosu od </w:t>
      </w:r>
      <w:r w:rsidR="00DC5CDA">
        <w:t>27.868.531 KM</w:t>
      </w:r>
      <w:r w:rsidRPr="00DC4DEF">
        <w:t xml:space="preserve">, odnosno </w:t>
      </w:r>
      <w:r w:rsidR="00DC5CDA">
        <w:t>67,87</w:t>
      </w:r>
      <w:r w:rsidRPr="00DC4DEF">
        <w:t>% u odnosu na planirane.</w:t>
      </w:r>
      <w:r>
        <w:t xml:space="preserve"> </w:t>
      </w:r>
    </w:p>
    <w:p w:rsidR="00AD16F2" w:rsidRPr="00A832B5" w:rsidRDefault="00AD16F2" w:rsidP="00AD16F2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AD16F2" w:rsidRDefault="00AD16F2" w:rsidP="00AD16F2">
      <w:pPr>
        <w:pStyle w:val="Uvuenotijeloteksta"/>
        <w:spacing w:line="240" w:lineRule="auto"/>
        <w:ind w:firstLine="0"/>
      </w:pPr>
      <w:r w:rsidRPr="00B26E33">
        <w:t xml:space="preserve">Izvršenje </w:t>
      </w:r>
      <w:r w:rsidR="0080656A">
        <w:t>proračunskih rashoda</w:t>
      </w:r>
      <w:r w:rsidRPr="00B26E33">
        <w:t xml:space="preserve"> u razdoblju 01.01.-</w:t>
      </w:r>
      <w:r w:rsidR="00674CF7">
        <w:t>30</w:t>
      </w:r>
      <w:r w:rsidRPr="00B26E33">
        <w:t>.0</w:t>
      </w:r>
      <w:r w:rsidR="00DC5CDA">
        <w:t>9</w:t>
      </w:r>
      <w:r w:rsidRPr="00B26E33">
        <w:t>.20</w:t>
      </w:r>
      <w:r w:rsidR="007B5E64">
        <w:t>20</w:t>
      </w:r>
      <w:r w:rsidRPr="00B26E33">
        <w:t xml:space="preserve">. godine je za </w:t>
      </w:r>
      <w:r w:rsidR="00DC5CDA">
        <w:t>5,24</w:t>
      </w:r>
      <w:r w:rsidRPr="00B26E33">
        <w:t xml:space="preserve">% odnosno za </w:t>
      </w:r>
      <w:r w:rsidR="00DC5CDA">
        <w:t>1.386.433</w:t>
      </w:r>
      <w:r w:rsidRPr="00B26E33">
        <w:t xml:space="preserve"> KM </w:t>
      </w:r>
      <w:r w:rsidR="007B5E64">
        <w:t>veće</w:t>
      </w:r>
      <w:r w:rsidRPr="00B26E33">
        <w:t xml:space="preserve"> od izvršenja </w:t>
      </w:r>
      <w:r w:rsidR="0080656A">
        <w:t xml:space="preserve">proračunskih </w:t>
      </w:r>
      <w:r w:rsidRPr="00B26E33">
        <w:t>rashoda u istom razdoblju fiskalne 201</w:t>
      </w:r>
      <w:r w:rsidR="007B5E64">
        <w:t>9</w:t>
      </w:r>
      <w:r w:rsidRPr="00B26E33">
        <w:t>. godine.</w:t>
      </w:r>
      <w:r w:rsidR="007A44F7">
        <w:t xml:space="preserve"> Promatrano u odnosu na plan za razdoblje izvršenje proračunskih rashoda je manje za </w:t>
      </w:r>
      <w:r w:rsidR="00C474CD">
        <w:t>2.</w:t>
      </w:r>
      <w:r w:rsidR="00DC5CDA">
        <w:t>927</w:t>
      </w:r>
      <w:r w:rsidR="00183B77">
        <w:t>.</w:t>
      </w:r>
      <w:r w:rsidR="00DC5CDA">
        <w:t>128</w:t>
      </w:r>
      <w:r w:rsidR="00C474CD">
        <w:t xml:space="preserve"> KM, odnosno manje za </w:t>
      </w:r>
      <w:r w:rsidR="00DC5CDA">
        <w:t>9,51</w:t>
      </w:r>
      <w:r w:rsidR="00C474CD">
        <w:t>%.</w:t>
      </w:r>
    </w:p>
    <w:p w:rsidR="00AD16F2" w:rsidRPr="00A832B5" w:rsidRDefault="00AD16F2" w:rsidP="00AD16F2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AD16F2" w:rsidRDefault="00AD16F2" w:rsidP="00AD16F2">
      <w:pPr>
        <w:pStyle w:val="Uvuenotijeloteksta"/>
        <w:spacing w:line="240" w:lineRule="auto"/>
        <w:ind w:firstLine="0"/>
      </w:pPr>
      <w:r>
        <w:t xml:space="preserve">Pregled </w:t>
      </w:r>
      <w:r w:rsidR="0080656A">
        <w:t xml:space="preserve">ukupno </w:t>
      </w:r>
      <w:r>
        <w:t xml:space="preserve">izvršenih </w:t>
      </w:r>
      <w:r w:rsidR="00B06E8D">
        <w:t>rashoda i izdataka</w:t>
      </w:r>
      <w:r>
        <w:t xml:space="preserve"> Proračuna Županije Posavske u razdoblju 01.01.-</w:t>
      </w:r>
      <w:r w:rsidR="00674CF7">
        <w:t>30</w:t>
      </w:r>
      <w:r>
        <w:t>.0</w:t>
      </w:r>
      <w:r w:rsidR="00DC5CDA">
        <w:t>9</w:t>
      </w:r>
      <w:r>
        <w:t>.20</w:t>
      </w:r>
      <w:r w:rsidR="007B5E64">
        <w:t>20</w:t>
      </w:r>
      <w:r>
        <w:t xml:space="preserve">. godine prikazan je po mjesecima na Grafu </w:t>
      </w:r>
      <w:r w:rsidR="00A832B5">
        <w:t>11</w:t>
      </w:r>
      <w:r>
        <w:t>.</w:t>
      </w:r>
    </w:p>
    <w:p w:rsidR="00AD16F2" w:rsidRDefault="00AD16F2" w:rsidP="00AD16F2">
      <w:pPr>
        <w:pStyle w:val="Uvuenotijeloteksta"/>
        <w:spacing w:line="240" w:lineRule="auto"/>
        <w:ind w:firstLine="0"/>
      </w:pPr>
    </w:p>
    <w:p w:rsidR="00AD16F2" w:rsidRDefault="00AD16F2" w:rsidP="00AD16F2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016188" cy="2127624"/>
            <wp:effectExtent l="0" t="0" r="22860" b="254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D16F2" w:rsidRDefault="00AD16F2" w:rsidP="00AD16F2">
      <w:pPr>
        <w:jc w:val="both"/>
        <w:rPr>
          <w:sz w:val="20"/>
          <w:szCs w:val="20"/>
        </w:rPr>
      </w:pPr>
      <w:r w:rsidRPr="00633355">
        <w:rPr>
          <w:sz w:val="20"/>
          <w:szCs w:val="20"/>
        </w:rPr>
        <w:t xml:space="preserve">Graf </w:t>
      </w:r>
      <w:r w:rsidR="00A832B5">
        <w:rPr>
          <w:sz w:val="20"/>
          <w:szCs w:val="20"/>
        </w:rPr>
        <w:t>11</w:t>
      </w:r>
      <w:r w:rsidRPr="0063335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Izvršenje </w:t>
      </w:r>
      <w:r w:rsidR="0080656A">
        <w:rPr>
          <w:sz w:val="20"/>
          <w:szCs w:val="20"/>
        </w:rPr>
        <w:t xml:space="preserve">ukupnih </w:t>
      </w:r>
      <w:r w:rsidR="00541C44">
        <w:rPr>
          <w:sz w:val="20"/>
          <w:szCs w:val="20"/>
        </w:rPr>
        <w:t xml:space="preserve">rashoda i </w:t>
      </w:r>
      <w:r>
        <w:rPr>
          <w:sz w:val="20"/>
          <w:szCs w:val="20"/>
        </w:rPr>
        <w:t>izdataka</w:t>
      </w:r>
      <w:r w:rsidRPr="00633355">
        <w:rPr>
          <w:sz w:val="20"/>
          <w:szCs w:val="20"/>
        </w:rPr>
        <w:t xml:space="preserve"> Proračuna </w:t>
      </w:r>
      <w:r w:rsidR="00541C44">
        <w:rPr>
          <w:sz w:val="20"/>
          <w:szCs w:val="20"/>
        </w:rPr>
        <w:t>ŽP</w:t>
      </w:r>
      <w:r w:rsidRPr="00633355">
        <w:rPr>
          <w:sz w:val="20"/>
          <w:szCs w:val="20"/>
        </w:rPr>
        <w:t xml:space="preserve"> u razdoblju 01.01.-</w:t>
      </w:r>
      <w:r w:rsidR="00674CF7">
        <w:rPr>
          <w:sz w:val="20"/>
          <w:szCs w:val="20"/>
        </w:rPr>
        <w:t>30</w:t>
      </w:r>
      <w:r w:rsidRPr="00633355">
        <w:rPr>
          <w:sz w:val="20"/>
          <w:szCs w:val="20"/>
        </w:rPr>
        <w:t>.0</w:t>
      </w:r>
      <w:r w:rsidR="00DC5CDA">
        <w:rPr>
          <w:sz w:val="20"/>
          <w:szCs w:val="20"/>
        </w:rPr>
        <w:t>9</w:t>
      </w:r>
      <w:r w:rsidRPr="00633355">
        <w:rPr>
          <w:sz w:val="20"/>
          <w:szCs w:val="20"/>
        </w:rPr>
        <w:t>.20</w:t>
      </w:r>
      <w:r w:rsidR="007B5E64">
        <w:rPr>
          <w:sz w:val="20"/>
          <w:szCs w:val="20"/>
        </w:rPr>
        <w:t>20</w:t>
      </w:r>
      <w:r w:rsidRPr="00633355">
        <w:rPr>
          <w:sz w:val="20"/>
          <w:szCs w:val="20"/>
        </w:rPr>
        <w:t xml:space="preserve">. godine </w:t>
      </w:r>
      <w:r>
        <w:rPr>
          <w:sz w:val="20"/>
          <w:szCs w:val="20"/>
        </w:rPr>
        <w:t>po mjesecima</w:t>
      </w:r>
      <w:r w:rsidRPr="00633355">
        <w:rPr>
          <w:sz w:val="20"/>
          <w:szCs w:val="20"/>
        </w:rPr>
        <w:t xml:space="preserve"> (u KM)</w:t>
      </w:r>
    </w:p>
    <w:p w:rsidR="00BB40DA" w:rsidRDefault="00BB40DA" w:rsidP="00AD16F2">
      <w:pPr>
        <w:pStyle w:val="Uvuenotijeloteksta"/>
        <w:spacing w:line="240" w:lineRule="auto"/>
        <w:ind w:firstLine="0"/>
        <w:rPr>
          <w:b/>
          <w:bCs/>
          <w:i/>
        </w:rPr>
      </w:pPr>
    </w:p>
    <w:p w:rsidR="00AD16F2" w:rsidRDefault="00AD16F2" w:rsidP="00AD16F2">
      <w:pPr>
        <w:pStyle w:val="Uvuenotijeloteksta"/>
        <w:spacing w:line="240" w:lineRule="auto"/>
        <w:ind w:firstLine="0"/>
      </w:pPr>
      <w:r>
        <w:t xml:space="preserve">Učešće </w:t>
      </w:r>
      <w:r w:rsidR="00541C44">
        <w:t>proračunskih rashoda</w:t>
      </w:r>
      <w:r>
        <w:t xml:space="preserve"> u ukupnim </w:t>
      </w:r>
      <w:r w:rsidR="00541C44">
        <w:t xml:space="preserve">rashodima i </w:t>
      </w:r>
      <w:r>
        <w:t xml:space="preserve">izdacima iznosi </w:t>
      </w:r>
      <w:r w:rsidR="00277765">
        <w:t>95,1</w:t>
      </w:r>
      <w:r w:rsidR="00DC5CDA">
        <w:t>5</w:t>
      </w:r>
      <w:r>
        <w:t xml:space="preserve">%. U nastavku slijedi tablični i grafički prikaz strukture izvršenih </w:t>
      </w:r>
      <w:r w:rsidR="00541C44">
        <w:t>rashoda</w:t>
      </w:r>
      <w:r>
        <w:t xml:space="preserve"> Proračuna Županije Posavske u razdoblju 01.01.-</w:t>
      </w:r>
      <w:r w:rsidR="00277765">
        <w:t>30</w:t>
      </w:r>
      <w:r>
        <w:t>.0</w:t>
      </w:r>
      <w:r w:rsidR="00DC5CDA">
        <w:t>9</w:t>
      </w:r>
      <w:r>
        <w:t>.20</w:t>
      </w:r>
      <w:r w:rsidR="007B5E64">
        <w:t>20</w:t>
      </w:r>
      <w:r>
        <w:t>.godine.</w:t>
      </w:r>
    </w:p>
    <w:p w:rsidR="00AD16F2" w:rsidRDefault="00AD16F2" w:rsidP="00AD16F2">
      <w:pPr>
        <w:pStyle w:val="Uvuenotijeloteksta"/>
        <w:spacing w:line="240" w:lineRule="auto"/>
        <w:ind w:firstLine="0"/>
      </w:pPr>
    </w:p>
    <w:p w:rsidR="00AD16F2" w:rsidRPr="00FD3224" w:rsidRDefault="00AD16F2" w:rsidP="00AD16F2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t xml:space="preserve">Tablica </w:t>
      </w:r>
      <w:r w:rsidR="00A832B5">
        <w:rPr>
          <w:sz w:val="20"/>
          <w:szCs w:val="20"/>
        </w:rPr>
        <w:t>10</w:t>
      </w:r>
      <w:r w:rsidRPr="00FD3224">
        <w:rPr>
          <w:sz w:val="20"/>
          <w:szCs w:val="20"/>
        </w:rPr>
        <w:t xml:space="preserve">. Struktura </w:t>
      </w:r>
      <w:r>
        <w:rPr>
          <w:sz w:val="20"/>
          <w:szCs w:val="20"/>
        </w:rPr>
        <w:t xml:space="preserve">izvršenih </w:t>
      </w:r>
      <w:r w:rsidR="002D77FB">
        <w:rPr>
          <w:sz w:val="20"/>
          <w:szCs w:val="20"/>
        </w:rPr>
        <w:t xml:space="preserve">proračunskih </w:t>
      </w:r>
      <w:r w:rsidR="00541C44">
        <w:rPr>
          <w:sz w:val="20"/>
          <w:szCs w:val="20"/>
        </w:rPr>
        <w:t>rashoda</w:t>
      </w:r>
      <w:r w:rsidRPr="00FD3224">
        <w:rPr>
          <w:sz w:val="20"/>
          <w:szCs w:val="20"/>
        </w:rPr>
        <w:t xml:space="preserve"> Proračuna </w:t>
      </w:r>
      <w:proofErr w:type="spellStart"/>
      <w:r w:rsidRPr="00FD3224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FD3224">
        <w:rPr>
          <w:sz w:val="20"/>
          <w:szCs w:val="20"/>
        </w:rPr>
        <w:t>Posavske</w:t>
      </w:r>
      <w:proofErr w:type="spellEnd"/>
      <w:r w:rsidRPr="00FD3224">
        <w:rPr>
          <w:sz w:val="20"/>
          <w:szCs w:val="20"/>
        </w:rPr>
        <w:t xml:space="preserve"> u razdoblju 01.01.-</w:t>
      </w:r>
      <w:r w:rsidR="00277765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277765">
        <w:rPr>
          <w:sz w:val="20"/>
          <w:szCs w:val="20"/>
        </w:rPr>
        <w:t>6</w:t>
      </w:r>
      <w:r w:rsidRPr="00FD3224">
        <w:rPr>
          <w:sz w:val="20"/>
          <w:szCs w:val="20"/>
        </w:rPr>
        <w:t>.20</w:t>
      </w:r>
      <w:r w:rsidR="007B5E64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4503"/>
        <w:gridCol w:w="3260"/>
        <w:gridCol w:w="1525"/>
      </w:tblGrid>
      <w:tr w:rsidR="00AD16F2" w:rsidRPr="00A15A60" w:rsidTr="005614C7">
        <w:trPr>
          <w:cnfStyle w:val="100000000000"/>
        </w:trPr>
        <w:tc>
          <w:tcPr>
            <w:cnfStyle w:val="001000000100"/>
            <w:tcW w:w="4503" w:type="dxa"/>
            <w:vAlign w:val="center"/>
          </w:tcPr>
          <w:p w:rsidR="00AD16F2" w:rsidRPr="00A15A60" w:rsidRDefault="00AD16F2" w:rsidP="005614C7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3260" w:type="dxa"/>
          </w:tcPr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AD16F2" w:rsidRPr="00A15A60" w:rsidRDefault="00AD16F2" w:rsidP="00DC5CDA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277765">
              <w:rPr>
                <w:b/>
                <w:sz w:val="22"/>
              </w:rPr>
              <w:t>30</w:t>
            </w:r>
            <w:r w:rsidRPr="00A15A60">
              <w:rPr>
                <w:b/>
                <w:sz w:val="22"/>
              </w:rPr>
              <w:t>.0</w:t>
            </w:r>
            <w:r w:rsidR="00DC5CDA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.20</w:t>
            </w:r>
            <w:r w:rsidR="007B5E64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.</w:t>
            </w:r>
            <w:r w:rsidRPr="00A15A60">
              <w:rPr>
                <w:b/>
                <w:sz w:val="22"/>
              </w:rPr>
              <w:t>g. (u KM)</w:t>
            </w:r>
          </w:p>
        </w:tc>
        <w:tc>
          <w:tcPr>
            <w:tcW w:w="1525" w:type="dxa"/>
          </w:tcPr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AD16F2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Rashodi – tekuća pričuva</w:t>
            </w:r>
          </w:p>
        </w:tc>
        <w:tc>
          <w:tcPr>
            <w:tcW w:w="3260" w:type="dxa"/>
          </w:tcPr>
          <w:p w:rsidR="00AD16F2" w:rsidRPr="00A15A60" w:rsidRDefault="00DC5CDA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371.518</w:t>
            </w:r>
          </w:p>
        </w:tc>
        <w:tc>
          <w:tcPr>
            <w:tcW w:w="1525" w:type="dxa"/>
          </w:tcPr>
          <w:p w:rsidR="00AD16F2" w:rsidRPr="00A15A60" w:rsidRDefault="00DC5CDA" w:rsidP="005614C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1,33</w:t>
            </w:r>
          </w:p>
        </w:tc>
      </w:tr>
      <w:tr w:rsidR="00AD16F2" w:rsidRPr="00A15A60" w:rsidTr="005614C7"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Plaće i naknade troškova zaposlenih</w:t>
            </w:r>
          </w:p>
        </w:tc>
        <w:tc>
          <w:tcPr>
            <w:tcW w:w="3260" w:type="dxa"/>
          </w:tcPr>
          <w:p w:rsidR="00AD16F2" w:rsidRPr="00A15A60" w:rsidRDefault="00DC5CDA" w:rsidP="005614C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15.870.592</w:t>
            </w:r>
          </w:p>
        </w:tc>
        <w:tc>
          <w:tcPr>
            <w:tcW w:w="1525" w:type="dxa"/>
          </w:tcPr>
          <w:p w:rsidR="00AD16F2" w:rsidRPr="00A15A60" w:rsidRDefault="00DC5CDA" w:rsidP="00183B77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56,95</w:t>
            </w:r>
          </w:p>
        </w:tc>
      </w:tr>
      <w:tr w:rsidR="00AD16F2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Doprinosi poslodavca i ostali doprinosi</w:t>
            </w:r>
          </w:p>
        </w:tc>
        <w:tc>
          <w:tcPr>
            <w:tcW w:w="3260" w:type="dxa"/>
          </w:tcPr>
          <w:p w:rsidR="00AD16F2" w:rsidRPr="00A15A60" w:rsidRDefault="00DC5CDA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1.574.879</w:t>
            </w:r>
          </w:p>
        </w:tc>
        <w:tc>
          <w:tcPr>
            <w:tcW w:w="1525" w:type="dxa"/>
          </w:tcPr>
          <w:p w:rsidR="00AD16F2" w:rsidRPr="00A15A60" w:rsidRDefault="00DC5CDA" w:rsidP="005614C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5,65</w:t>
            </w:r>
          </w:p>
        </w:tc>
      </w:tr>
      <w:tr w:rsidR="00AD16F2" w:rsidRPr="00A15A60" w:rsidTr="005614C7"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Izdaci za materijal, sitan inventar i usluge</w:t>
            </w:r>
          </w:p>
        </w:tc>
        <w:tc>
          <w:tcPr>
            <w:tcW w:w="3260" w:type="dxa"/>
          </w:tcPr>
          <w:p w:rsidR="00AD16F2" w:rsidRPr="00A15A60" w:rsidRDefault="00DC5CDA" w:rsidP="005614C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2.478.903</w:t>
            </w:r>
          </w:p>
        </w:tc>
        <w:tc>
          <w:tcPr>
            <w:tcW w:w="1525" w:type="dxa"/>
          </w:tcPr>
          <w:p w:rsidR="00AD16F2" w:rsidRPr="00A15A60" w:rsidRDefault="00DC5CDA" w:rsidP="005614C7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8,89</w:t>
            </w:r>
          </w:p>
        </w:tc>
      </w:tr>
      <w:tr w:rsidR="00AD16F2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Tekući </w:t>
            </w:r>
            <w:proofErr w:type="spellStart"/>
            <w:r>
              <w:rPr>
                <w:sz w:val="22"/>
              </w:rPr>
              <w:t>grantovi</w:t>
            </w:r>
            <w:proofErr w:type="spellEnd"/>
            <w:r>
              <w:rPr>
                <w:sz w:val="22"/>
              </w:rPr>
              <w:t xml:space="preserve"> i drugi tekući rashodi</w:t>
            </w:r>
          </w:p>
        </w:tc>
        <w:tc>
          <w:tcPr>
            <w:tcW w:w="3260" w:type="dxa"/>
          </w:tcPr>
          <w:p w:rsidR="00AD16F2" w:rsidRPr="00A15A60" w:rsidRDefault="00DC5CDA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7.532.127</w:t>
            </w:r>
          </w:p>
        </w:tc>
        <w:tc>
          <w:tcPr>
            <w:tcW w:w="1525" w:type="dxa"/>
          </w:tcPr>
          <w:p w:rsidR="00AD16F2" w:rsidRPr="00A15A60" w:rsidRDefault="00DC5CDA" w:rsidP="005614C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27,03</w:t>
            </w:r>
          </w:p>
        </w:tc>
      </w:tr>
      <w:tr w:rsidR="002D77FB" w:rsidRPr="00A15A60" w:rsidTr="005614C7">
        <w:tc>
          <w:tcPr>
            <w:cnfStyle w:val="001000000000"/>
            <w:tcW w:w="4503" w:type="dxa"/>
          </w:tcPr>
          <w:p w:rsidR="002D77FB" w:rsidRDefault="002D77FB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Kapitalni </w:t>
            </w:r>
            <w:proofErr w:type="spellStart"/>
            <w:r>
              <w:rPr>
                <w:sz w:val="22"/>
              </w:rPr>
              <w:t>grantovi</w:t>
            </w:r>
            <w:proofErr w:type="spellEnd"/>
          </w:p>
        </w:tc>
        <w:tc>
          <w:tcPr>
            <w:tcW w:w="3260" w:type="dxa"/>
          </w:tcPr>
          <w:p w:rsidR="002D77FB" w:rsidRDefault="00DC5CDA" w:rsidP="005614C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4.000</w:t>
            </w:r>
          </w:p>
        </w:tc>
        <w:tc>
          <w:tcPr>
            <w:tcW w:w="1525" w:type="dxa"/>
          </w:tcPr>
          <w:p w:rsidR="002D77FB" w:rsidRDefault="00DC5CDA" w:rsidP="00DC5CDA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</w:tr>
      <w:tr w:rsidR="002D77FB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2D77FB" w:rsidRDefault="002D77FB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Izdaci za kamate</w:t>
            </w:r>
          </w:p>
        </w:tc>
        <w:tc>
          <w:tcPr>
            <w:tcW w:w="3260" w:type="dxa"/>
          </w:tcPr>
          <w:p w:rsidR="002D77FB" w:rsidRDefault="00DC5CDA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36.512</w:t>
            </w:r>
          </w:p>
        </w:tc>
        <w:tc>
          <w:tcPr>
            <w:tcW w:w="1525" w:type="dxa"/>
          </w:tcPr>
          <w:p w:rsidR="002D77FB" w:rsidRDefault="00DC5CDA" w:rsidP="005614C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</w:tr>
      <w:tr w:rsidR="00AD16F2" w:rsidRPr="00A15A60" w:rsidTr="005614C7"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3260" w:type="dxa"/>
          </w:tcPr>
          <w:p w:rsidR="00AD16F2" w:rsidRPr="00A15A60" w:rsidRDefault="002B4957" w:rsidP="005614C7">
            <w:pPr>
              <w:ind w:right="74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DC5CDA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DC5CDA">
              <w:rPr>
                <w:b/>
                <w:noProof/>
                <w:sz w:val="22"/>
              </w:rPr>
              <w:t>27.868.531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525" w:type="dxa"/>
          </w:tcPr>
          <w:p w:rsidR="00AD16F2" w:rsidRPr="00A15A60" w:rsidRDefault="002B4957" w:rsidP="005614C7">
            <w:pPr>
              <w:ind w:right="28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DC5CDA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DC5CDA"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 w:rsidR="00DC5CDA">
              <w:rPr>
                <w:b/>
                <w:sz w:val="22"/>
              </w:rPr>
              <w:t>,00</w:t>
            </w:r>
          </w:p>
        </w:tc>
      </w:tr>
    </w:tbl>
    <w:p w:rsidR="00AD16F2" w:rsidRDefault="00AD16F2" w:rsidP="00AD16F2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5302250" cy="2586567"/>
            <wp:effectExtent l="1905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D16F2" w:rsidRDefault="00AD16F2" w:rsidP="00AD16F2">
      <w:pPr>
        <w:jc w:val="center"/>
        <w:rPr>
          <w:sz w:val="20"/>
          <w:szCs w:val="20"/>
        </w:rPr>
      </w:pPr>
      <w:r w:rsidRPr="00633355">
        <w:rPr>
          <w:sz w:val="20"/>
          <w:szCs w:val="20"/>
        </w:rPr>
        <w:t xml:space="preserve">Graf </w:t>
      </w:r>
      <w:r w:rsidR="00A832B5">
        <w:rPr>
          <w:sz w:val="20"/>
          <w:szCs w:val="20"/>
        </w:rPr>
        <w:t>12</w:t>
      </w:r>
      <w:r w:rsidRPr="0063335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Struktura izvršenih </w:t>
      </w:r>
      <w:proofErr w:type="spellStart"/>
      <w:r w:rsidR="002D77FB">
        <w:rPr>
          <w:sz w:val="20"/>
          <w:szCs w:val="20"/>
        </w:rPr>
        <w:t>pror.</w:t>
      </w:r>
      <w:r w:rsidR="00541C44">
        <w:rPr>
          <w:sz w:val="20"/>
          <w:szCs w:val="20"/>
        </w:rPr>
        <w:t>rashoda</w:t>
      </w:r>
      <w:proofErr w:type="spellEnd"/>
      <w:r w:rsidRPr="00633355">
        <w:rPr>
          <w:sz w:val="20"/>
          <w:szCs w:val="20"/>
        </w:rPr>
        <w:t xml:space="preserve"> Proračuna </w:t>
      </w:r>
      <w:proofErr w:type="spellStart"/>
      <w:r w:rsidRPr="00633355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633355">
        <w:rPr>
          <w:sz w:val="20"/>
          <w:szCs w:val="20"/>
        </w:rPr>
        <w:t>Posavske</w:t>
      </w:r>
      <w:proofErr w:type="spellEnd"/>
      <w:r w:rsidRPr="00633355">
        <w:rPr>
          <w:sz w:val="20"/>
          <w:szCs w:val="20"/>
        </w:rPr>
        <w:t xml:space="preserve"> u razdoblju 01.01.-</w:t>
      </w:r>
      <w:r w:rsidR="00277765">
        <w:rPr>
          <w:sz w:val="20"/>
          <w:szCs w:val="20"/>
        </w:rPr>
        <w:t>30</w:t>
      </w:r>
      <w:r w:rsidRPr="00633355">
        <w:rPr>
          <w:sz w:val="20"/>
          <w:szCs w:val="20"/>
        </w:rPr>
        <w:t>.0</w:t>
      </w:r>
      <w:r w:rsidR="007323FB">
        <w:rPr>
          <w:sz w:val="20"/>
          <w:szCs w:val="20"/>
        </w:rPr>
        <w:t>9</w:t>
      </w:r>
      <w:r>
        <w:rPr>
          <w:sz w:val="20"/>
          <w:szCs w:val="20"/>
        </w:rPr>
        <w:t>.20</w:t>
      </w:r>
      <w:r w:rsidR="007B5E64">
        <w:rPr>
          <w:sz w:val="20"/>
          <w:szCs w:val="20"/>
        </w:rPr>
        <w:t>20</w:t>
      </w:r>
      <w:r w:rsidRPr="00633355">
        <w:rPr>
          <w:sz w:val="20"/>
          <w:szCs w:val="20"/>
        </w:rPr>
        <w:t>. godine</w:t>
      </w:r>
    </w:p>
    <w:p w:rsidR="00AD16F2" w:rsidRPr="00153551" w:rsidRDefault="00AD16F2" w:rsidP="00AD16F2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BF4C43" w:rsidRDefault="00BF4C43" w:rsidP="00BF4C43">
      <w:pPr>
        <w:pStyle w:val="Uvuenotijeloteksta"/>
        <w:spacing w:line="240" w:lineRule="auto"/>
        <w:ind w:firstLine="0"/>
      </w:pPr>
      <w:r>
        <w:t>U razdoblju siječanj-</w:t>
      </w:r>
      <w:r w:rsidR="007323FB">
        <w:t>rujan</w:t>
      </w:r>
      <w:r>
        <w:t xml:space="preserve"> 20</w:t>
      </w:r>
      <w:r w:rsidR="007B5E64">
        <w:t>20</w:t>
      </w:r>
      <w:r>
        <w:t xml:space="preserve">. godine </w:t>
      </w:r>
      <w:r w:rsidR="007B5E64">
        <w:t>iz sredstava</w:t>
      </w:r>
      <w:r>
        <w:t xml:space="preserve"> </w:t>
      </w:r>
      <w:r w:rsidRPr="00AA0D7F">
        <w:rPr>
          <w:b/>
        </w:rPr>
        <w:t>tekućih pričuva</w:t>
      </w:r>
      <w:r>
        <w:t xml:space="preserve"> utrošeno je </w:t>
      </w:r>
      <w:r w:rsidR="00277765">
        <w:t xml:space="preserve">ukupno </w:t>
      </w:r>
      <w:r w:rsidR="007323FB">
        <w:t>371.518</w:t>
      </w:r>
      <w:r>
        <w:t xml:space="preserve"> KM ili </w:t>
      </w:r>
      <w:r w:rsidR="007323FB">
        <w:t>74,60</w:t>
      </w:r>
      <w:r>
        <w:t>% ukupno planiranih rashoda po ovoj osnovi u 20</w:t>
      </w:r>
      <w:r w:rsidR="007B5E64">
        <w:t>20</w:t>
      </w:r>
      <w:r>
        <w:t xml:space="preserve">. godini. Obrazloženje utroška tekućih pričuva Proračuna detaljno je dano u Izvješću o utrošku tekućih pričuva Proračuna Županije Posavske za </w:t>
      </w:r>
      <w:r w:rsidR="00745741">
        <w:t>razdoblje 01.01.-</w:t>
      </w:r>
      <w:r w:rsidR="00277765">
        <w:t>30</w:t>
      </w:r>
      <w:r w:rsidR="00745741">
        <w:t>.0</w:t>
      </w:r>
      <w:r w:rsidR="007323FB">
        <w:t>9</w:t>
      </w:r>
      <w:r w:rsidR="00745741">
        <w:t>.</w:t>
      </w:r>
      <w:r>
        <w:t>20</w:t>
      </w:r>
      <w:r w:rsidR="007B5E64">
        <w:t>20</w:t>
      </w:r>
      <w:r>
        <w:t>. godinu.</w:t>
      </w:r>
    </w:p>
    <w:p w:rsidR="00AD16F2" w:rsidRPr="00153551" w:rsidRDefault="00AD16F2" w:rsidP="00AD16F2">
      <w:pPr>
        <w:pStyle w:val="Uvuenotijeloteksta"/>
        <w:spacing w:line="240" w:lineRule="auto"/>
        <w:rPr>
          <w:sz w:val="20"/>
          <w:szCs w:val="20"/>
        </w:rPr>
      </w:pPr>
    </w:p>
    <w:p w:rsidR="00AD16F2" w:rsidRPr="00AB55C2" w:rsidRDefault="00AD16F2" w:rsidP="00AD16F2">
      <w:pPr>
        <w:pStyle w:val="Uvuenotijeloteksta"/>
        <w:spacing w:line="240" w:lineRule="auto"/>
        <w:ind w:firstLine="0"/>
      </w:pPr>
      <w:r w:rsidRPr="00AA0D7F">
        <w:rPr>
          <w:b/>
        </w:rPr>
        <w:t>Izdaci po osnovi plaća i naknada troškova zaposlenih (potkategorija 611000)</w:t>
      </w:r>
      <w:r>
        <w:t xml:space="preserve"> ostvareni su u iznosu od </w:t>
      </w:r>
      <w:r w:rsidR="007323FB">
        <w:t>15.870.592</w:t>
      </w:r>
      <w:r>
        <w:t xml:space="preserve"> KM, odnosno </w:t>
      </w:r>
      <w:r w:rsidR="007323FB">
        <w:t>72,94</w:t>
      </w:r>
      <w:r>
        <w:t xml:space="preserve">%, dok su izdaci po osnovi doprinosa poslodavca i ostalih doprinosa (potkategorija 612000) ostvareni u iznosu od </w:t>
      </w:r>
      <w:r w:rsidR="007323FB">
        <w:t>1.574.879</w:t>
      </w:r>
      <w:r>
        <w:t xml:space="preserve"> KM, odnosno </w:t>
      </w:r>
      <w:r w:rsidR="007323FB">
        <w:t>73,55</w:t>
      </w:r>
      <w:r>
        <w:t xml:space="preserve">% u odnosu na planirane. Na teret bruto plaća i naknada plaća isplaćeno je ukupno </w:t>
      </w:r>
      <w:r w:rsidR="007323FB">
        <w:t>13.256.562</w:t>
      </w:r>
      <w:r w:rsidRPr="00AB55C2">
        <w:t xml:space="preserve"> KM, odnosno:</w:t>
      </w:r>
    </w:p>
    <w:p w:rsidR="00AD16F2" w:rsidRPr="002F6081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2F6081">
        <w:t xml:space="preserve">plaće po umanjenju doprinosa iz redovnog rada u iznosu od </w:t>
      </w:r>
      <w:r w:rsidR="007323FB">
        <w:t>6.864.414</w:t>
      </w:r>
      <w:r w:rsidR="00FB10FF">
        <w:t xml:space="preserve"> </w:t>
      </w:r>
      <w:r w:rsidRPr="002F6081">
        <w:t>KM,</w:t>
      </w:r>
    </w:p>
    <w:p w:rsidR="00AD16F2" w:rsidRPr="002F6081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2F6081">
        <w:t xml:space="preserve">naknade plaća u iznosu od </w:t>
      </w:r>
      <w:r w:rsidR="007323FB">
        <w:t>2.221.728</w:t>
      </w:r>
      <w:r w:rsidR="00FB10FF">
        <w:t xml:space="preserve"> </w:t>
      </w:r>
      <w:r w:rsidRPr="002F6081">
        <w:t>KM,</w:t>
      </w:r>
    </w:p>
    <w:p w:rsidR="00AD16F2" w:rsidRPr="002F6081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2F6081">
        <w:t xml:space="preserve">doprinosi za MIO (na teret zaposlenih) u iznosu od </w:t>
      </w:r>
      <w:r w:rsidR="007323FB">
        <w:t>2.284.889</w:t>
      </w:r>
      <w:r w:rsidR="00D218EC" w:rsidRPr="002F6081">
        <w:t xml:space="preserve"> </w:t>
      </w:r>
      <w:r w:rsidRPr="002F6081">
        <w:t>KM,</w:t>
      </w:r>
    </w:p>
    <w:p w:rsidR="00AD16F2" w:rsidRPr="002F6081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2F6081">
        <w:t xml:space="preserve">doprinosi za zdravstveno osiguranje (na teret zaposlenih) u iznosu od </w:t>
      </w:r>
      <w:r w:rsidR="007323FB">
        <w:t>1.683.510</w:t>
      </w:r>
      <w:r w:rsidR="00D218EC" w:rsidRPr="002F6081">
        <w:t xml:space="preserve"> </w:t>
      </w:r>
      <w:r w:rsidRPr="002F6081">
        <w:t>KM</w:t>
      </w:r>
      <w:r w:rsidR="00D218EC" w:rsidRPr="002F6081">
        <w:t>,</w:t>
      </w:r>
      <w:r w:rsidRPr="002F6081">
        <w:t xml:space="preserve"> i</w:t>
      </w:r>
    </w:p>
    <w:p w:rsidR="00AD16F2" w:rsidRPr="002F6081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2F6081">
        <w:t xml:space="preserve">doprinosi za zapošljavanje (na teret zaposlenih) u iznosu od </w:t>
      </w:r>
      <w:r w:rsidR="007323FB">
        <w:t>202.021</w:t>
      </w:r>
      <w:r w:rsidR="00D218EC" w:rsidRPr="002F6081">
        <w:t xml:space="preserve"> </w:t>
      </w:r>
      <w:r w:rsidRPr="002F6081">
        <w:t>KM.</w:t>
      </w:r>
    </w:p>
    <w:p w:rsidR="00AD16F2" w:rsidRPr="00153551" w:rsidRDefault="00AD16F2" w:rsidP="00AD16F2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2F6081" w:rsidRDefault="00532AB2" w:rsidP="00C34B28">
      <w:pPr>
        <w:pStyle w:val="Uvuenotijeloteksta"/>
        <w:spacing w:line="240" w:lineRule="auto"/>
        <w:ind w:firstLine="0"/>
      </w:pPr>
      <w:r w:rsidRPr="00687A2C">
        <w:t>U odnosu na isto razdoblje 201</w:t>
      </w:r>
      <w:r w:rsidR="007B5E64">
        <w:t>9</w:t>
      </w:r>
      <w:r w:rsidRPr="00687A2C">
        <w:t xml:space="preserve">. godine izdaci za bruto plaće i naknade plaća </w:t>
      </w:r>
      <w:r w:rsidR="00C34B28">
        <w:t>veće</w:t>
      </w:r>
      <w:r w:rsidRPr="00687A2C">
        <w:t xml:space="preserve"> su za </w:t>
      </w:r>
      <w:r w:rsidR="007323FB">
        <w:t>1,72</w:t>
      </w:r>
      <w:r w:rsidRPr="002F6081">
        <w:t>%</w:t>
      </w:r>
      <w:r w:rsidR="00D218EC" w:rsidRPr="002F6081">
        <w:t>,</w:t>
      </w:r>
      <w:r w:rsidRPr="002F6081">
        <w:t xml:space="preserve"> odnosno u apsolutnom iznosu</w:t>
      </w:r>
      <w:r w:rsidR="00C474CD" w:rsidRPr="002F6081">
        <w:t xml:space="preserve"> veće</w:t>
      </w:r>
      <w:r w:rsidRPr="002F6081">
        <w:t xml:space="preserve"> za </w:t>
      </w:r>
      <w:r w:rsidR="007323FB">
        <w:t>268.551</w:t>
      </w:r>
      <w:r w:rsidR="008E3A3B" w:rsidRPr="002F6081">
        <w:t xml:space="preserve"> </w:t>
      </w:r>
      <w:r w:rsidRPr="002F6081">
        <w:t xml:space="preserve">KM. </w:t>
      </w:r>
      <w:r w:rsidR="00C34B28" w:rsidRPr="002F6081">
        <w:t xml:space="preserve">Promatrano u odnosu na plan razdoblja izvršenje bruto plaća i naknada plaća je manje za </w:t>
      </w:r>
      <w:r w:rsidR="007323FB">
        <w:t>2,74</w:t>
      </w:r>
      <w:r w:rsidR="00C34B28" w:rsidRPr="002F6081">
        <w:t xml:space="preserve">%, odnosno </w:t>
      </w:r>
      <w:r w:rsidR="00C474CD" w:rsidRPr="002F6081">
        <w:t xml:space="preserve">manje </w:t>
      </w:r>
      <w:r w:rsidR="00C34B28" w:rsidRPr="002F6081">
        <w:t xml:space="preserve">za </w:t>
      </w:r>
      <w:r w:rsidR="007323FB">
        <w:t>447.893</w:t>
      </w:r>
      <w:r w:rsidR="00C34B28">
        <w:t xml:space="preserve"> KM.</w:t>
      </w:r>
      <w:r w:rsidR="005C4A11">
        <w:t xml:space="preserve"> Razlog </w:t>
      </w:r>
      <w:r w:rsidR="002F6081">
        <w:t>većem</w:t>
      </w:r>
      <w:r w:rsidR="005C4A11">
        <w:t xml:space="preserve"> izvršenju u odnosu na i</w:t>
      </w:r>
      <w:r w:rsidR="005116C5">
        <w:t xml:space="preserve">sto razdoblje prethodne godine nalazi se u primjeni </w:t>
      </w:r>
      <w:r w:rsidR="002F6081">
        <w:t>novog Kolektivnog</w:t>
      </w:r>
      <w:r w:rsidR="002F6081" w:rsidRPr="001D5487">
        <w:t xml:space="preserve"> ugovor</w:t>
      </w:r>
      <w:r w:rsidR="002F6081">
        <w:t>a</w:t>
      </w:r>
      <w:r w:rsidR="002F6081" w:rsidRPr="001D5487">
        <w:t xml:space="preserve"> </w:t>
      </w:r>
      <w:r w:rsidR="002F6081" w:rsidRPr="001D5487">
        <w:rPr>
          <w:bCs/>
        </w:rPr>
        <w:t>za policijske slu</w:t>
      </w:r>
      <w:r w:rsidR="002F6081">
        <w:rPr>
          <w:bCs/>
        </w:rPr>
        <w:t>ž</w:t>
      </w:r>
      <w:r w:rsidR="002F6081" w:rsidRPr="001D5487">
        <w:rPr>
          <w:bCs/>
        </w:rPr>
        <w:t xml:space="preserve">benike u Ministarstvu unutarnjih poslova </w:t>
      </w:r>
      <w:r w:rsidR="002F6081">
        <w:rPr>
          <w:bCs/>
        </w:rPr>
        <w:t>Ž</w:t>
      </w:r>
      <w:r w:rsidR="002F6081" w:rsidRPr="001D5487">
        <w:rPr>
          <w:bCs/>
        </w:rPr>
        <w:t>upanije Posavske</w:t>
      </w:r>
      <w:r w:rsidR="002F6081">
        <w:rPr>
          <w:bCs/>
        </w:rPr>
        <w:t xml:space="preserve"> („Narodne novine Županije Posavske“, prema kojemu se od 01.10.2019. godine pa do donošenja zakona o plaćama policijskih službenika za obračun plaća primjenjuju platni razredi i koeficijenti iz Uredbe o plaćama, dodacima i naknadama policijskih službenika Županije Posavske  uvećani za 0,5 za svaki platni razred </w:t>
      </w:r>
      <w:r w:rsidR="002F6081">
        <w:t>(članak 33.(5)</w:t>
      </w:r>
      <w:r w:rsidR="00FB10FF">
        <w:t>)</w:t>
      </w:r>
      <w:r w:rsidR="002F6081">
        <w:t>.</w:t>
      </w:r>
    </w:p>
    <w:p w:rsidR="00C53412" w:rsidRPr="00153551" w:rsidRDefault="00C53412" w:rsidP="00AD16F2">
      <w:pPr>
        <w:pStyle w:val="Uvuenotijeloteksta"/>
        <w:spacing w:line="240" w:lineRule="auto"/>
        <w:ind w:firstLine="0"/>
        <w:rPr>
          <w:sz w:val="20"/>
          <w:szCs w:val="20"/>
          <w:highlight w:val="yellow"/>
        </w:rPr>
      </w:pPr>
    </w:p>
    <w:p w:rsidR="00463FF4" w:rsidRDefault="00AD16F2" w:rsidP="00A54DF8">
      <w:pPr>
        <w:pStyle w:val="Uvuenotijeloteksta"/>
        <w:spacing w:line="240" w:lineRule="auto"/>
        <w:ind w:firstLine="0"/>
      </w:pPr>
      <w:r w:rsidRPr="00AA0D7F">
        <w:rPr>
          <w:b/>
        </w:rPr>
        <w:t>Naknade troškova zaposlenih</w:t>
      </w:r>
      <w:r>
        <w:t xml:space="preserve"> u izvještajnom razdoblju ukupno iznose </w:t>
      </w:r>
      <w:r w:rsidR="007323FB">
        <w:t>2.614.030</w:t>
      </w:r>
      <w:r w:rsidR="00D218EC">
        <w:t xml:space="preserve"> </w:t>
      </w:r>
      <w:r>
        <w:t xml:space="preserve">KM, odnosno </w:t>
      </w:r>
      <w:r w:rsidR="007323FB">
        <w:t>69,52</w:t>
      </w:r>
      <w:r>
        <w:t>% Proračunom predviđenih izdataka za ove namjene. U odnosu na izvršenje u istom razdoblju fiskalne 201</w:t>
      </w:r>
      <w:r w:rsidR="002F6081">
        <w:t>9</w:t>
      </w:r>
      <w:r>
        <w:t xml:space="preserve">. godine naknade troškova zaposlenih su </w:t>
      </w:r>
      <w:r w:rsidR="007323FB">
        <w:t>veće</w:t>
      </w:r>
      <w:r>
        <w:t xml:space="preserve"> za </w:t>
      </w:r>
      <w:r w:rsidR="007323FB">
        <w:t>0,12</w:t>
      </w:r>
      <w:r>
        <w:t xml:space="preserve">% odnosno </w:t>
      </w:r>
      <w:r w:rsidR="007323FB">
        <w:t>veće</w:t>
      </w:r>
      <w:r>
        <w:t xml:space="preserve"> za </w:t>
      </w:r>
      <w:r w:rsidR="007323FB">
        <w:t>3.075</w:t>
      </w:r>
      <w:r>
        <w:t xml:space="preserve"> KM. </w:t>
      </w:r>
      <w:r w:rsidR="00463FF4">
        <w:t>Pri tom su naknade troškova stalno zaposlenih djelatnika proračunskih korisnika u razdoblju 01.01.-</w:t>
      </w:r>
      <w:r w:rsidR="00FB10FF">
        <w:t>30</w:t>
      </w:r>
      <w:r w:rsidR="00463FF4">
        <w:t>.0</w:t>
      </w:r>
      <w:r w:rsidR="007323FB">
        <w:t>9</w:t>
      </w:r>
      <w:r w:rsidR="00463FF4">
        <w:t>.20</w:t>
      </w:r>
      <w:r w:rsidR="002F6081">
        <w:t>20</w:t>
      </w:r>
      <w:r w:rsidR="00463FF4">
        <w:t xml:space="preserve">. godine </w:t>
      </w:r>
      <w:r w:rsidR="007323FB">
        <w:t>povećane</w:t>
      </w:r>
      <w:r w:rsidR="00C474CD">
        <w:t xml:space="preserve"> za</w:t>
      </w:r>
      <w:r w:rsidR="00463FF4">
        <w:t xml:space="preserve"> </w:t>
      </w:r>
      <w:r w:rsidR="007323FB">
        <w:t>36.736</w:t>
      </w:r>
      <w:r w:rsidR="00463FF4">
        <w:t xml:space="preserve"> KM ili za </w:t>
      </w:r>
      <w:r w:rsidR="007323FB">
        <w:t>1,44</w:t>
      </w:r>
      <w:r w:rsidR="00463FF4" w:rsidRPr="00076961">
        <w:t xml:space="preserve">% u odnosu na isto razdoblje prethodne godine, </w:t>
      </w:r>
      <w:r w:rsidR="00AD446D" w:rsidRPr="00076961">
        <w:t>a naknade</w:t>
      </w:r>
      <w:r w:rsidR="00463FF4" w:rsidRPr="00076961">
        <w:t xml:space="preserve"> troškova angažiranih volontera </w:t>
      </w:r>
      <w:r w:rsidR="008E3A3B" w:rsidRPr="00076961">
        <w:t>smanjene</w:t>
      </w:r>
      <w:r w:rsidR="00463FF4" w:rsidRPr="00076961">
        <w:t xml:space="preserve"> za </w:t>
      </w:r>
      <w:r w:rsidR="007323FB">
        <w:t>33.661</w:t>
      </w:r>
      <w:r w:rsidR="00463FF4" w:rsidRPr="00076961">
        <w:t xml:space="preserve"> KM ili za </w:t>
      </w:r>
      <w:r w:rsidR="007323FB">
        <w:t>55,36</w:t>
      </w:r>
      <w:r w:rsidR="00463FF4" w:rsidRPr="00076961">
        <w:t xml:space="preserve">%. </w:t>
      </w:r>
      <w:r w:rsidR="008569FB" w:rsidRPr="00076961">
        <w:t>U</w:t>
      </w:r>
      <w:r w:rsidR="008E3A3B" w:rsidRPr="00076961">
        <w:t xml:space="preserve"> razdoblju </w:t>
      </w:r>
      <w:r w:rsidR="00A176A8" w:rsidRPr="00076961">
        <w:t>siječanj</w:t>
      </w:r>
      <w:r w:rsidR="008E3A3B" w:rsidRPr="00076961">
        <w:t>-</w:t>
      </w:r>
      <w:r w:rsidR="007323FB">
        <w:t>rujan</w:t>
      </w:r>
      <w:r w:rsidR="008E3A3B" w:rsidRPr="00076961">
        <w:t xml:space="preserve"> 20</w:t>
      </w:r>
      <w:r w:rsidR="00A176A8" w:rsidRPr="00076961">
        <w:t>20</w:t>
      </w:r>
      <w:r w:rsidR="008E3A3B" w:rsidRPr="00076961">
        <w:t>. godine</w:t>
      </w:r>
      <w:r w:rsidR="008569FB" w:rsidRPr="00076961">
        <w:t xml:space="preserve"> </w:t>
      </w:r>
      <w:r w:rsidR="00076961" w:rsidRPr="00076961">
        <w:t xml:space="preserve">u pravosudnim institucijama volontirale su 2 osobe, čiji </w:t>
      </w:r>
      <w:r w:rsidR="007323FB">
        <w:t xml:space="preserve">su </w:t>
      </w:r>
      <w:r w:rsidR="00076961" w:rsidRPr="00076961">
        <w:t xml:space="preserve">ugovori </w:t>
      </w:r>
      <w:r w:rsidR="007323FB">
        <w:t>istekli</w:t>
      </w:r>
      <w:r w:rsidR="00076961" w:rsidRPr="00076961">
        <w:t xml:space="preserve"> početkom srpnja </w:t>
      </w:r>
      <w:r w:rsidR="00076961" w:rsidRPr="00076961">
        <w:lastRenderedPageBreak/>
        <w:t xml:space="preserve">tekuće godine. S druge strane, nova skupina od 24 volontera započela je s radom od 01.06.2020. godine, a isti su raspoređeni u škole i Ministarstvo unutarnjih poslova Županije Posavske. </w:t>
      </w:r>
    </w:p>
    <w:p w:rsidR="00463FF4" w:rsidRPr="00153551" w:rsidRDefault="00463FF4" w:rsidP="00A54DF8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AD16F2" w:rsidRPr="00A14807" w:rsidRDefault="00AD16F2" w:rsidP="00AD16F2">
      <w:pPr>
        <w:pStyle w:val="Uvuenotijeloteksta"/>
        <w:spacing w:line="240" w:lineRule="auto"/>
        <w:ind w:firstLine="0"/>
      </w:pPr>
      <w:r w:rsidRPr="00A14807">
        <w:t xml:space="preserve">Na teret </w:t>
      </w:r>
      <w:r w:rsidRPr="00AA0D7F">
        <w:rPr>
          <w:b/>
        </w:rPr>
        <w:t>doprinosa poslodavca i ostalih doprinosa</w:t>
      </w:r>
      <w:r w:rsidRPr="00A14807">
        <w:t xml:space="preserve"> u izvještajnom razdoblju isplaćeno je</w:t>
      </w:r>
      <w:r w:rsidR="00AC2191">
        <w:t xml:space="preserve"> </w:t>
      </w:r>
      <w:r w:rsidR="00771570">
        <w:t>1.574.879</w:t>
      </w:r>
      <w:r>
        <w:t xml:space="preserve"> KM</w:t>
      </w:r>
      <w:r w:rsidR="00F606E1">
        <w:t xml:space="preserve"> odnosno </w:t>
      </w:r>
      <w:r w:rsidR="00771570">
        <w:t>72,94</w:t>
      </w:r>
      <w:r w:rsidR="00F606E1">
        <w:t>% ukupno planiranog po ovoj osnovi</w:t>
      </w:r>
      <w:r>
        <w:t>,</w:t>
      </w:r>
      <w:r w:rsidR="00F606E1">
        <w:t xml:space="preserve"> i to</w:t>
      </w:r>
      <w:r>
        <w:t xml:space="preserve"> kako slijedi</w:t>
      </w:r>
      <w:r w:rsidRPr="00A14807">
        <w:t>:</w:t>
      </w:r>
    </w:p>
    <w:p w:rsidR="00AD16F2" w:rsidRPr="00F36A47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F36A47">
        <w:t xml:space="preserve">doprinosi za MIO u iznosu od </w:t>
      </w:r>
      <w:r w:rsidR="00771570">
        <w:t>808.085</w:t>
      </w:r>
      <w:r w:rsidRPr="00F36A47">
        <w:t xml:space="preserve"> KM,</w:t>
      </w:r>
    </w:p>
    <w:p w:rsidR="00AD16F2" w:rsidRPr="00F36A47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F36A47">
        <w:t xml:space="preserve">doprinosi za zdravstveno osiguranje u iznosu od </w:t>
      </w:r>
      <w:r w:rsidR="00771570">
        <w:t>538.723</w:t>
      </w:r>
      <w:r w:rsidRPr="00F36A47">
        <w:t xml:space="preserve"> KM,</w:t>
      </w:r>
    </w:p>
    <w:p w:rsidR="00AD16F2" w:rsidRPr="00F36A47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F36A47">
        <w:t xml:space="preserve">doprinosi za zapošljavanje u iznosu od </w:t>
      </w:r>
      <w:r w:rsidR="00771570">
        <w:t>67.340</w:t>
      </w:r>
      <w:r w:rsidRPr="00F36A47">
        <w:t xml:space="preserve"> KM i</w:t>
      </w:r>
    </w:p>
    <w:p w:rsidR="00AD16F2" w:rsidRPr="00F36A47" w:rsidRDefault="00AD16F2" w:rsidP="00AD16F2">
      <w:pPr>
        <w:pStyle w:val="Uvuenotijeloteksta"/>
        <w:numPr>
          <w:ilvl w:val="0"/>
          <w:numId w:val="2"/>
        </w:numPr>
        <w:spacing w:line="240" w:lineRule="auto"/>
      </w:pPr>
      <w:r w:rsidRPr="00F36A47">
        <w:t xml:space="preserve">doprinosi za beneficirani radni staž u iznosu od </w:t>
      </w:r>
      <w:r w:rsidR="00771570">
        <w:t>160.731</w:t>
      </w:r>
      <w:r w:rsidRPr="00F36A47">
        <w:t xml:space="preserve"> KM.</w:t>
      </w:r>
    </w:p>
    <w:p w:rsidR="00AD16F2" w:rsidRDefault="00995CA4" w:rsidP="00AD16F2">
      <w:pPr>
        <w:pStyle w:val="Uvuenotijeloteksta"/>
        <w:spacing w:line="240" w:lineRule="auto"/>
        <w:ind w:firstLine="0"/>
      </w:pPr>
      <w:r>
        <w:t>U odnosu na isto razdoblje 201</w:t>
      </w:r>
      <w:r w:rsidR="00A176A8">
        <w:t>9</w:t>
      </w:r>
      <w:r>
        <w:t xml:space="preserve">. godine izdaci za doprinose poslodavca i ostale doprinose </w:t>
      </w:r>
      <w:r w:rsidR="00D33825">
        <w:t>veći</w:t>
      </w:r>
      <w:r>
        <w:t xml:space="preserve"> su za </w:t>
      </w:r>
      <w:r w:rsidR="00771570">
        <w:t>1,68</w:t>
      </w:r>
      <w:r>
        <w:t>%</w:t>
      </w:r>
      <w:r w:rsidR="00A176A8">
        <w:t>,</w:t>
      </w:r>
      <w:r>
        <w:t xml:space="preserve"> odnosno u apsolutnom iznosu </w:t>
      </w:r>
      <w:r w:rsidR="00F7492B">
        <w:t xml:space="preserve">veći </w:t>
      </w:r>
      <w:r>
        <w:t xml:space="preserve">za </w:t>
      </w:r>
      <w:r w:rsidR="00771570">
        <w:t>26.022</w:t>
      </w:r>
      <w:r>
        <w:t xml:space="preserve"> KM. </w:t>
      </w:r>
    </w:p>
    <w:p w:rsidR="00995CA4" w:rsidRPr="00153551" w:rsidRDefault="00995CA4" w:rsidP="00AD16F2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995CA4" w:rsidRPr="00153551" w:rsidRDefault="00463FF4" w:rsidP="00995CA4">
      <w:pPr>
        <w:pStyle w:val="Uvuenotijeloteksta"/>
        <w:spacing w:line="240" w:lineRule="auto"/>
        <w:ind w:firstLine="0"/>
        <w:rPr>
          <w:color w:val="FF0000"/>
        </w:rPr>
      </w:pPr>
      <w:r w:rsidRPr="00616B23">
        <w:t xml:space="preserve">U </w:t>
      </w:r>
      <w:r w:rsidR="00771570">
        <w:t>rujnu</w:t>
      </w:r>
      <w:r w:rsidRPr="00616B23">
        <w:t xml:space="preserve"> 20</w:t>
      </w:r>
      <w:r w:rsidR="00A176A8" w:rsidRPr="00616B23">
        <w:t>20</w:t>
      </w:r>
      <w:r w:rsidRPr="00616B23">
        <w:t xml:space="preserve">. godine na platnim listama proračunskih korisnika našlo se </w:t>
      </w:r>
      <w:r w:rsidR="0061018C" w:rsidRPr="00616B23">
        <w:t>93</w:t>
      </w:r>
      <w:r w:rsidR="00771570">
        <w:t>9</w:t>
      </w:r>
      <w:r w:rsidR="00C84D4C" w:rsidRPr="00616B23">
        <w:t xml:space="preserve"> zaposlenih, od kojih </w:t>
      </w:r>
      <w:r w:rsidR="00771570">
        <w:t>6</w:t>
      </w:r>
      <w:r w:rsidR="00C84D4C" w:rsidRPr="00616B23">
        <w:t xml:space="preserve"> zaposlenih u </w:t>
      </w:r>
      <w:r w:rsidR="00A176A8" w:rsidRPr="00616B23">
        <w:t>obrazovanju</w:t>
      </w:r>
      <w:r w:rsidR="00C84D4C" w:rsidRPr="00616B23">
        <w:t xml:space="preserve"> postižu punu mjesečnu normu radnih sati u </w:t>
      </w:r>
      <w:r w:rsidR="00A176A8" w:rsidRPr="00616B23">
        <w:t>po dvije</w:t>
      </w:r>
      <w:r w:rsidR="00C84D4C" w:rsidRPr="00616B23">
        <w:t xml:space="preserve"> škole, a što, sukladno navedenom, čini ukupno </w:t>
      </w:r>
      <w:r w:rsidR="00771570">
        <w:t>933</w:t>
      </w:r>
      <w:r w:rsidR="00CD5BB6" w:rsidRPr="00616B23">
        <w:t xml:space="preserve"> </w:t>
      </w:r>
      <w:r w:rsidR="00616B23">
        <w:t xml:space="preserve">stalno </w:t>
      </w:r>
      <w:r w:rsidR="00CD5BB6" w:rsidRPr="00616B23">
        <w:t>zaposlen</w:t>
      </w:r>
      <w:r w:rsidR="00771570">
        <w:t>a</w:t>
      </w:r>
      <w:r w:rsidR="00616B23">
        <w:t xml:space="preserve"> djelatnika</w:t>
      </w:r>
      <w:r w:rsidR="008F33A2" w:rsidRPr="00616B23">
        <w:t>.</w:t>
      </w:r>
      <w:r w:rsidR="0058643D" w:rsidRPr="00616B23">
        <w:t xml:space="preserve"> </w:t>
      </w:r>
      <w:r w:rsidR="00A1321E" w:rsidRPr="00AD2A66">
        <w:t xml:space="preserve">U osnovnim i srednjim školama je </w:t>
      </w:r>
      <w:r w:rsidR="00CD5BB6" w:rsidRPr="00AD2A66">
        <w:t xml:space="preserve">u </w:t>
      </w:r>
      <w:r w:rsidR="00771570">
        <w:t>rujnu</w:t>
      </w:r>
      <w:r w:rsidR="00CD5BB6" w:rsidRPr="00AD2A66">
        <w:t xml:space="preserve"> 20</w:t>
      </w:r>
      <w:r w:rsidR="00A176A8" w:rsidRPr="00AD2A66">
        <w:t>20</w:t>
      </w:r>
      <w:r w:rsidR="00CD5BB6" w:rsidRPr="00AD2A66">
        <w:t xml:space="preserve">. godine </w:t>
      </w:r>
      <w:r w:rsidR="00A1321E" w:rsidRPr="00AD2A66">
        <w:t xml:space="preserve">bilo zaposleno </w:t>
      </w:r>
      <w:r w:rsidR="00AD2A66" w:rsidRPr="00AD2A66">
        <w:t>19</w:t>
      </w:r>
      <w:r w:rsidR="00A1321E" w:rsidRPr="00AD2A66">
        <w:t xml:space="preserve"> radnik</w:t>
      </w:r>
      <w:r w:rsidR="00A176A8" w:rsidRPr="00AD2A66">
        <w:t>a</w:t>
      </w:r>
      <w:r w:rsidR="00A1321E" w:rsidRPr="00AD2A66">
        <w:t xml:space="preserve"> po osnovi ugovora o obavljanju privremenih i povremenih poslova u prosvjeti.</w:t>
      </w:r>
    </w:p>
    <w:p w:rsidR="00995CA4" w:rsidRPr="00153551" w:rsidRDefault="00995CA4" w:rsidP="00AD16F2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AD16F2" w:rsidRDefault="00AD16F2" w:rsidP="00AD16F2">
      <w:pPr>
        <w:pStyle w:val="Uvuenotijeloteksta"/>
        <w:spacing w:line="240" w:lineRule="auto"/>
        <w:ind w:firstLine="0"/>
      </w:pPr>
      <w:r w:rsidRPr="00AA0D7F">
        <w:rPr>
          <w:b/>
        </w:rPr>
        <w:t>Izdaci za materijal, sitan inventar i usluge (potkategorija 613000)</w:t>
      </w:r>
      <w:r w:rsidRPr="00D82C64">
        <w:t xml:space="preserve"> ostvareni su u iznosu od </w:t>
      </w:r>
      <w:r w:rsidR="00771570">
        <w:t>2.478.903</w:t>
      </w:r>
      <w:r w:rsidRPr="00D82C64">
        <w:t xml:space="preserve"> KM, odnosno </w:t>
      </w:r>
      <w:r w:rsidR="00771570">
        <w:t>63,21</w:t>
      </w:r>
      <w:r w:rsidRPr="00D82C64">
        <w:t xml:space="preserve">% ukupno planiranih izdataka za ove namjene. U tablici </w:t>
      </w:r>
      <w:r w:rsidR="00A832B5" w:rsidRPr="00D82C64">
        <w:t>11</w:t>
      </w:r>
      <w:r w:rsidRPr="00D82C64">
        <w:t>. i na Grafu 1</w:t>
      </w:r>
      <w:r w:rsidR="00A832B5" w:rsidRPr="00D82C64">
        <w:t>3</w:t>
      </w:r>
      <w:r w:rsidRPr="00D82C64">
        <w:t>. prikazana je struktura izvršenih izdataka za materijal, sitan inventar i usluge u razdoblju 01.01.-</w:t>
      </w:r>
      <w:r w:rsidR="00616B23">
        <w:t>30</w:t>
      </w:r>
      <w:r w:rsidRPr="00D82C64">
        <w:t>.0</w:t>
      </w:r>
      <w:r w:rsidR="00771570">
        <w:t>9</w:t>
      </w:r>
      <w:r w:rsidRPr="00D82C64">
        <w:t>.20</w:t>
      </w:r>
      <w:r w:rsidR="00A176A8">
        <w:t>20</w:t>
      </w:r>
      <w:r w:rsidRPr="00D82C64">
        <w:t>. godine.</w:t>
      </w:r>
    </w:p>
    <w:p w:rsidR="008E356E" w:rsidRPr="00153551" w:rsidRDefault="008E356E" w:rsidP="00AD16F2">
      <w:pPr>
        <w:pStyle w:val="Uvuenotijeloteksta"/>
        <w:spacing w:line="240" w:lineRule="auto"/>
        <w:ind w:firstLine="0"/>
        <w:rPr>
          <w:sz w:val="16"/>
          <w:szCs w:val="16"/>
        </w:rPr>
      </w:pPr>
    </w:p>
    <w:p w:rsidR="00AD16F2" w:rsidRPr="00FD3224" w:rsidRDefault="00AD16F2" w:rsidP="00AD16F2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t xml:space="preserve">Tablica </w:t>
      </w:r>
      <w:r w:rsidR="00A832B5">
        <w:rPr>
          <w:sz w:val="20"/>
          <w:szCs w:val="20"/>
        </w:rPr>
        <w:t>11</w:t>
      </w:r>
      <w:r w:rsidRPr="00FD3224">
        <w:rPr>
          <w:sz w:val="20"/>
          <w:szCs w:val="20"/>
        </w:rPr>
        <w:t xml:space="preserve">. Struktura </w:t>
      </w:r>
      <w:r>
        <w:rPr>
          <w:sz w:val="20"/>
          <w:szCs w:val="20"/>
        </w:rPr>
        <w:t>izvršenih izdataka za materijal, sitan inventar i usluge</w:t>
      </w:r>
      <w:r w:rsidRPr="00FD3224">
        <w:rPr>
          <w:sz w:val="20"/>
          <w:szCs w:val="20"/>
        </w:rPr>
        <w:t xml:space="preserve"> Proračuna </w:t>
      </w:r>
      <w:r w:rsidR="00995CA4">
        <w:rPr>
          <w:sz w:val="20"/>
          <w:szCs w:val="20"/>
        </w:rPr>
        <w:t>ŽP</w:t>
      </w:r>
      <w:r w:rsidRPr="00FD3224">
        <w:rPr>
          <w:sz w:val="20"/>
          <w:szCs w:val="20"/>
        </w:rPr>
        <w:t xml:space="preserve"> u razdoblju 01.01.-</w:t>
      </w:r>
      <w:r w:rsidR="00616B23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771570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A176A8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4503"/>
        <w:gridCol w:w="3260"/>
        <w:gridCol w:w="1525"/>
      </w:tblGrid>
      <w:tr w:rsidR="00AD16F2" w:rsidRPr="00A15A60" w:rsidTr="005614C7">
        <w:trPr>
          <w:cnfStyle w:val="100000000000"/>
        </w:trPr>
        <w:tc>
          <w:tcPr>
            <w:cnfStyle w:val="001000000100"/>
            <w:tcW w:w="4503" w:type="dxa"/>
            <w:vAlign w:val="center"/>
          </w:tcPr>
          <w:p w:rsidR="00AD16F2" w:rsidRPr="00A15A60" w:rsidRDefault="00AD16F2" w:rsidP="005614C7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3260" w:type="dxa"/>
          </w:tcPr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AD16F2" w:rsidRPr="00A15A60" w:rsidRDefault="00AD16F2" w:rsidP="00771570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616B23">
              <w:rPr>
                <w:b/>
                <w:sz w:val="22"/>
              </w:rPr>
              <w:t>30</w:t>
            </w:r>
            <w:r w:rsidRPr="00A15A60">
              <w:rPr>
                <w:b/>
                <w:sz w:val="22"/>
              </w:rPr>
              <w:t>.0</w:t>
            </w:r>
            <w:r w:rsidR="00771570">
              <w:rPr>
                <w:b/>
                <w:sz w:val="22"/>
              </w:rPr>
              <w:t>9</w:t>
            </w:r>
            <w:r w:rsidRPr="00A15A60">
              <w:rPr>
                <w:b/>
                <w:sz w:val="22"/>
              </w:rPr>
              <w:t>.20</w:t>
            </w:r>
            <w:r w:rsidR="00A176A8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>.g. (u KM)</w:t>
            </w:r>
          </w:p>
        </w:tc>
        <w:tc>
          <w:tcPr>
            <w:tcW w:w="1525" w:type="dxa"/>
          </w:tcPr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AD16F2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Putni troškovi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34.310</w:t>
            </w:r>
          </w:p>
        </w:tc>
        <w:tc>
          <w:tcPr>
            <w:tcW w:w="1525" w:type="dxa"/>
          </w:tcPr>
          <w:p w:rsidR="00AD16F2" w:rsidRPr="00A15A60" w:rsidRDefault="00771570" w:rsidP="0077157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1,39</w:t>
            </w:r>
          </w:p>
        </w:tc>
      </w:tr>
      <w:tr w:rsidR="00AD16F2" w:rsidRPr="00A15A60" w:rsidTr="005614C7"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Izdaci za energiju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370.355</w:t>
            </w:r>
          </w:p>
        </w:tc>
        <w:tc>
          <w:tcPr>
            <w:tcW w:w="1525" w:type="dxa"/>
          </w:tcPr>
          <w:p w:rsidR="00AD16F2" w:rsidRPr="00A15A60" w:rsidRDefault="00771570" w:rsidP="005614C7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14,94</w:t>
            </w:r>
          </w:p>
        </w:tc>
      </w:tr>
      <w:tr w:rsidR="00AD16F2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Izdaci za komunikaciju i komunalne usluge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260.408</w:t>
            </w:r>
          </w:p>
        </w:tc>
        <w:tc>
          <w:tcPr>
            <w:tcW w:w="1525" w:type="dxa"/>
          </w:tcPr>
          <w:p w:rsidR="00AD16F2" w:rsidRPr="00A15A60" w:rsidRDefault="00771570" w:rsidP="005614C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10,50</w:t>
            </w:r>
          </w:p>
        </w:tc>
      </w:tr>
      <w:tr w:rsidR="00AD16F2" w:rsidRPr="00A15A60" w:rsidTr="005614C7"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Nabavka materijala i sitnog inventara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345.030</w:t>
            </w:r>
          </w:p>
        </w:tc>
        <w:tc>
          <w:tcPr>
            <w:tcW w:w="1525" w:type="dxa"/>
          </w:tcPr>
          <w:p w:rsidR="00AD16F2" w:rsidRPr="00A15A60" w:rsidRDefault="00771570" w:rsidP="00791202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13,92</w:t>
            </w:r>
          </w:p>
        </w:tc>
      </w:tr>
      <w:tr w:rsidR="00AD16F2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Izdaci za usluge prijevoza i goriva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131.309</w:t>
            </w:r>
          </w:p>
        </w:tc>
        <w:tc>
          <w:tcPr>
            <w:tcW w:w="1525" w:type="dxa"/>
          </w:tcPr>
          <w:p w:rsidR="00AD16F2" w:rsidRPr="00A15A60" w:rsidRDefault="00771570" w:rsidP="005614C7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5,30</w:t>
            </w:r>
          </w:p>
        </w:tc>
      </w:tr>
      <w:tr w:rsidR="00AD16F2" w:rsidRPr="00A15A60" w:rsidTr="005614C7"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Unajmljivanje imovine, opreme i </w:t>
            </w:r>
            <w:proofErr w:type="spellStart"/>
            <w:r>
              <w:rPr>
                <w:sz w:val="22"/>
              </w:rPr>
              <w:t>nem.imovine</w:t>
            </w:r>
            <w:proofErr w:type="spellEnd"/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23.836</w:t>
            </w:r>
          </w:p>
        </w:tc>
        <w:tc>
          <w:tcPr>
            <w:tcW w:w="1525" w:type="dxa"/>
          </w:tcPr>
          <w:p w:rsidR="00AD16F2" w:rsidRPr="00A15A60" w:rsidRDefault="00771570" w:rsidP="00995CA4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0,96</w:t>
            </w:r>
          </w:p>
        </w:tc>
      </w:tr>
      <w:tr w:rsidR="00AD16F2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AD16F2" w:rsidRPr="00A15A60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Izdaci za tekuće održavanje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205.292</w:t>
            </w:r>
          </w:p>
        </w:tc>
        <w:tc>
          <w:tcPr>
            <w:tcW w:w="1525" w:type="dxa"/>
          </w:tcPr>
          <w:p w:rsidR="00AD16F2" w:rsidRPr="00A15A60" w:rsidRDefault="00771570" w:rsidP="008E356E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8,28</w:t>
            </w:r>
          </w:p>
        </w:tc>
      </w:tr>
      <w:tr w:rsidR="00AD16F2" w:rsidRPr="00A15A60" w:rsidTr="005614C7">
        <w:tc>
          <w:tcPr>
            <w:cnfStyle w:val="001000000000"/>
            <w:tcW w:w="4503" w:type="dxa"/>
          </w:tcPr>
          <w:p w:rsidR="00AD16F2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Tekuće održavanje cesta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125.688</w:t>
            </w:r>
          </w:p>
        </w:tc>
        <w:tc>
          <w:tcPr>
            <w:tcW w:w="1525" w:type="dxa"/>
          </w:tcPr>
          <w:p w:rsidR="00AD16F2" w:rsidRPr="00A15A60" w:rsidRDefault="00771570" w:rsidP="007D23ED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5,07</w:t>
            </w:r>
          </w:p>
        </w:tc>
      </w:tr>
      <w:tr w:rsidR="00AD16F2" w:rsidRPr="00A15A60" w:rsidTr="005614C7">
        <w:trPr>
          <w:cnfStyle w:val="000000100000"/>
        </w:trPr>
        <w:tc>
          <w:tcPr>
            <w:cnfStyle w:val="001000000000"/>
            <w:tcW w:w="4503" w:type="dxa"/>
          </w:tcPr>
          <w:p w:rsidR="00AD16F2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Izdaci osiguranja, </w:t>
            </w:r>
            <w:proofErr w:type="spellStart"/>
            <w:r>
              <w:rPr>
                <w:sz w:val="22"/>
              </w:rPr>
              <w:t>bank.usluga</w:t>
            </w:r>
            <w:proofErr w:type="spellEnd"/>
            <w:r>
              <w:rPr>
                <w:sz w:val="22"/>
              </w:rPr>
              <w:t xml:space="preserve"> i usluga </w:t>
            </w:r>
            <w:proofErr w:type="spellStart"/>
            <w:r>
              <w:rPr>
                <w:sz w:val="22"/>
              </w:rPr>
              <w:t>p.p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28.353</w:t>
            </w:r>
          </w:p>
        </w:tc>
        <w:tc>
          <w:tcPr>
            <w:tcW w:w="1525" w:type="dxa"/>
          </w:tcPr>
          <w:p w:rsidR="00AD16F2" w:rsidRPr="00A15A60" w:rsidRDefault="00771570" w:rsidP="008569FB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1,14</w:t>
            </w:r>
          </w:p>
        </w:tc>
      </w:tr>
      <w:tr w:rsidR="00AD16F2" w:rsidRPr="00A15A60" w:rsidTr="005614C7">
        <w:tc>
          <w:tcPr>
            <w:cnfStyle w:val="001000000000"/>
            <w:tcW w:w="4503" w:type="dxa"/>
          </w:tcPr>
          <w:p w:rsidR="00AD16F2" w:rsidRDefault="00AD16F2" w:rsidP="005614C7">
            <w:pPr>
              <w:jc w:val="both"/>
              <w:rPr>
                <w:sz w:val="22"/>
              </w:rPr>
            </w:pPr>
            <w:r>
              <w:rPr>
                <w:sz w:val="22"/>
              </w:rPr>
              <w:t>Izdaci za negativne tečajne razlike</w:t>
            </w:r>
          </w:p>
        </w:tc>
        <w:tc>
          <w:tcPr>
            <w:tcW w:w="3260" w:type="dxa"/>
          </w:tcPr>
          <w:p w:rsidR="00AD16F2" w:rsidRPr="00A15A60" w:rsidRDefault="00771570" w:rsidP="005614C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5" w:type="dxa"/>
          </w:tcPr>
          <w:p w:rsidR="00AD16F2" w:rsidRPr="00A15A60" w:rsidRDefault="00771570" w:rsidP="005614C7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52A77" w:rsidRPr="00A15A60" w:rsidTr="000404AD">
        <w:trPr>
          <w:cnfStyle w:val="000000100000"/>
        </w:trPr>
        <w:tc>
          <w:tcPr>
            <w:cnfStyle w:val="001000000000"/>
            <w:tcW w:w="4503" w:type="dxa"/>
          </w:tcPr>
          <w:p w:rsidR="00F52A77" w:rsidRDefault="00F52A77" w:rsidP="000404AD">
            <w:pPr>
              <w:jc w:val="both"/>
              <w:rPr>
                <w:sz w:val="22"/>
              </w:rPr>
            </w:pPr>
            <w:r>
              <w:rPr>
                <w:sz w:val="22"/>
              </w:rPr>
              <w:t>Ugovorene i druge posebne usluge</w:t>
            </w:r>
          </w:p>
        </w:tc>
        <w:tc>
          <w:tcPr>
            <w:tcW w:w="3260" w:type="dxa"/>
          </w:tcPr>
          <w:p w:rsidR="00F52A77" w:rsidRPr="00A15A60" w:rsidRDefault="00771570" w:rsidP="000404AD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781.333</w:t>
            </w:r>
          </w:p>
        </w:tc>
        <w:tc>
          <w:tcPr>
            <w:tcW w:w="1525" w:type="dxa"/>
          </w:tcPr>
          <w:p w:rsidR="00F52A77" w:rsidRPr="00A15A60" w:rsidRDefault="00771570" w:rsidP="000404AD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</w:tr>
      <w:tr w:rsidR="00F52A77" w:rsidRPr="00A15A60" w:rsidTr="000404AD">
        <w:tc>
          <w:tcPr>
            <w:cnfStyle w:val="001000000000"/>
            <w:tcW w:w="4503" w:type="dxa"/>
          </w:tcPr>
          <w:p w:rsidR="00F52A77" w:rsidRDefault="00F52A77" w:rsidP="000404AD">
            <w:pPr>
              <w:jc w:val="both"/>
              <w:rPr>
                <w:sz w:val="22"/>
              </w:rPr>
            </w:pPr>
            <w:r>
              <w:rPr>
                <w:sz w:val="22"/>
              </w:rPr>
              <w:t>Agencija za državnu službu</w:t>
            </w:r>
          </w:p>
        </w:tc>
        <w:tc>
          <w:tcPr>
            <w:tcW w:w="3260" w:type="dxa"/>
          </w:tcPr>
          <w:p w:rsidR="00F52A77" w:rsidRPr="00A15A60" w:rsidRDefault="00771570" w:rsidP="000404AD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5" w:type="dxa"/>
          </w:tcPr>
          <w:p w:rsidR="00F52A77" w:rsidRPr="00A15A60" w:rsidRDefault="00771570" w:rsidP="000404AD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A176A8" w:rsidRPr="00A15A60" w:rsidTr="000404AD">
        <w:trPr>
          <w:cnfStyle w:val="000000100000"/>
        </w:trPr>
        <w:tc>
          <w:tcPr>
            <w:cnfStyle w:val="001000000000"/>
            <w:tcW w:w="4503" w:type="dxa"/>
          </w:tcPr>
          <w:p w:rsidR="00A176A8" w:rsidRDefault="00A176A8" w:rsidP="008569FB">
            <w:pPr>
              <w:jc w:val="both"/>
              <w:rPr>
                <w:sz w:val="22"/>
              </w:rPr>
            </w:pPr>
            <w:r>
              <w:rPr>
                <w:sz w:val="22"/>
              </w:rPr>
              <w:t>Povjerenstva po Zakonu o drž.služb.i</w:t>
            </w:r>
            <w:r w:rsidR="00076961">
              <w:rPr>
                <w:sz w:val="22"/>
              </w:rPr>
              <w:t xml:space="preserve"> </w:t>
            </w:r>
            <w:r>
              <w:rPr>
                <w:sz w:val="22"/>
              </w:rPr>
              <w:t>namješten.</w:t>
            </w:r>
          </w:p>
        </w:tc>
        <w:tc>
          <w:tcPr>
            <w:tcW w:w="3260" w:type="dxa"/>
          </w:tcPr>
          <w:p w:rsidR="00A176A8" w:rsidRPr="00A15A60" w:rsidRDefault="00771570" w:rsidP="000404AD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27.577</w:t>
            </w:r>
          </w:p>
        </w:tc>
        <w:tc>
          <w:tcPr>
            <w:tcW w:w="1525" w:type="dxa"/>
          </w:tcPr>
          <w:p w:rsidR="00A176A8" w:rsidRPr="00A15A60" w:rsidRDefault="00771570" w:rsidP="00FF0DFA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1,11</w:t>
            </w:r>
          </w:p>
        </w:tc>
      </w:tr>
      <w:tr w:rsidR="00616B23" w:rsidRPr="00A15A60" w:rsidTr="000404AD">
        <w:tc>
          <w:tcPr>
            <w:cnfStyle w:val="001000000000"/>
            <w:tcW w:w="4503" w:type="dxa"/>
          </w:tcPr>
          <w:p w:rsidR="00616B23" w:rsidRDefault="00616B23" w:rsidP="00616B2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Ugov.i</w:t>
            </w:r>
            <w:proofErr w:type="spellEnd"/>
            <w:r>
              <w:rPr>
                <w:sz w:val="22"/>
              </w:rPr>
              <w:t xml:space="preserve"> dr.pos.usl.–</w:t>
            </w:r>
            <w:proofErr w:type="spellStart"/>
            <w:r>
              <w:rPr>
                <w:sz w:val="22"/>
              </w:rPr>
              <w:t>trošk.izvršenja</w:t>
            </w:r>
            <w:proofErr w:type="spellEnd"/>
            <w:r>
              <w:rPr>
                <w:sz w:val="22"/>
              </w:rPr>
              <w:t xml:space="preserve"> mjere pritvora</w:t>
            </w:r>
          </w:p>
        </w:tc>
        <w:tc>
          <w:tcPr>
            <w:tcW w:w="3260" w:type="dxa"/>
          </w:tcPr>
          <w:p w:rsidR="00616B23" w:rsidRPr="00A15A60" w:rsidRDefault="00771570" w:rsidP="000404AD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41.590</w:t>
            </w:r>
          </w:p>
        </w:tc>
        <w:tc>
          <w:tcPr>
            <w:tcW w:w="1525" w:type="dxa"/>
          </w:tcPr>
          <w:p w:rsidR="00616B23" w:rsidRPr="00A15A60" w:rsidRDefault="00771570" w:rsidP="00FF0DFA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1,68</w:t>
            </w:r>
          </w:p>
        </w:tc>
      </w:tr>
      <w:tr w:rsidR="00F52A77" w:rsidRPr="00A15A60" w:rsidTr="000404AD">
        <w:trPr>
          <w:cnfStyle w:val="000000100000"/>
        </w:trPr>
        <w:tc>
          <w:tcPr>
            <w:cnfStyle w:val="001000000000"/>
            <w:tcW w:w="4503" w:type="dxa"/>
          </w:tcPr>
          <w:p w:rsidR="00F52A77" w:rsidRDefault="008569FB" w:rsidP="008569FB">
            <w:pPr>
              <w:jc w:val="both"/>
              <w:rPr>
                <w:sz w:val="22"/>
              </w:rPr>
            </w:pPr>
            <w:r>
              <w:rPr>
                <w:sz w:val="22"/>
              </w:rPr>
              <w:t>Potpora riznici</w:t>
            </w:r>
          </w:p>
        </w:tc>
        <w:tc>
          <w:tcPr>
            <w:tcW w:w="3260" w:type="dxa"/>
          </w:tcPr>
          <w:p w:rsidR="00F52A77" w:rsidRPr="00A15A60" w:rsidRDefault="00771570" w:rsidP="000404AD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40.628</w:t>
            </w:r>
          </w:p>
        </w:tc>
        <w:tc>
          <w:tcPr>
            <w:tcW w:w="1525" w:type="dxa"/>
          </w:tcPr>
          <w:p w:rsidR="00F52A77" w:rsidRPr="00A15A60" w:rsidRDefault="00771570" w:rsidP="00FF0DFA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1,64</w:t>
            </w:r>
          </w:p>
        </w:tc>
      </w:tr>
      <w:tr w:rsidR="00F52A77" w:rsidRPr="00A15A60" w:rsidTr="000404AD">
        <w:tc>
          <w:tcPr>
            <w:cnfStyle w:val="001000000000"/>
            <w:tcW w:w="4503" w:type="dxa"/>
          </w:tcPr>
          <w:p w:rsidR="00F52A77" w:rsidRDefault="00F52A77" w:rsidP="000404AD">
            <w:pPr>
              <w:jc w:val="both"/>
              <w:rPr>
                <w:sz w:val="22"/>
              </w:rPr>
            </w:pPr>
            <w:r>
              <w:rPr>
                <w:sz w:val="22"/>
              </w:rPr>
              <w:t>Vozački ispiti – vlastiti prihodi</w:t>
            </w:r>
          </w:p>
        </w:tc>
        <w:tc>
          <w:tcPr>
            <w:tcW w:w="3260" w:type="dxa"/>
          </w:tcPr>
          <w:p w:rsidR="00F52A77" w:rsidRPr="00A15A60" w:rsidRDefault="00771570" w:rsidP="000404AD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24.294</w:t>
            </w:r>
          </w:p>
        </w:tc>
        <w:tc>
          <w:tcPr>
            <w:tcW w:w="1525" w:type="dxa"/>
          </w:tcPr>
          <w:p w:rsidR="00F52A77" w:rsidRPr="00A15A60" w:rsidRDefault="00771570" w:rsidP="00A176A8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0,98</w:t>
            </w:r>
          </w:p>
        </w:tc>
      </w:tr>
      <w:tr w:rsidR="00F52A77" w:rsidRPr="00A15A60" w:rsidTr="000404AD">
        <w:trPr>
          <w:cnfStyle w:val="000000100000"/>
        </w:trPr>
        <w:tc>
          <w:tcPr>
            <w:cnfStyle w:val="001000000000"/>
            <w:tcW w:w="4503" w:type="dxa"/>
          </w:tcPr>
          <w:p w:rsidR="00F52A77" w:rsidRDefault="00F52A77" w:rsidP="000404A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Ugovorene i </w:t>
            </w:r>
            <w:proofErr w:type="spellStart"/>
            <w:r>
              <w:rPr>
                <w:sz w:val="22"/>
              </w:rPr>
              <w:t>dr.posebne</w:t>
            </w:r>
            <w:proofErr w:type="spellEnd"/>
            <w:r>
              <w:rPr>
                <w:sz w:val="22"/>
              </w:rPr>
              <w:t xml:space="preserve"> usluge – volonterski rad</w:t>
            </w:r>
          </w:p>
        </w:tc>
        <w:tc>
          <w:tcPr>
            <w:tcW w:w="3260" w:type="dxa"/>
          </w:tcPr>
          <w:p w:rsidR="00F52A77" w:rsidRPr="00A15A60" w:rsidRDefault="00771570" w:rsidP="008F33A2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31.377</w:t>
            </w:r>
          </w:p>
        </w:tc>
        <w:tc>
          <w:tcPr>
            <w:tcW w:w="1525" w:type="dxa"/>
          </w:tcPr>
          <w:p w:rsidR="00F52A77" w:rsidRPr="00A15A60" w:rsidRDefault="00771570" w:rsidP="000404AD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1,27</w:t>
            </w:r>
          </w:p>
        </w:tc>
      </w:tr>
      <w:tr w:rsidR="00FF0DFA" w:rsidRPr="00A15A60" w:rsidTr="00FF0DFA">
        <w:tc>
          <w:tcPr>
            <w:cnfStyle w:val="001000000000"/>
            <w:tcW w:w="4503" w:type="dxa"/>
          </w:tcPr>
          <w:p w:rsidR="00FF0DFA" w:rsidRDefault="00FF0DFA" w:rsidP="00FF0DF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Ugovorene i </w:t>
            </w:r>
            <w:proofErr w:type="spellStart"/>
            <w:r>
              <w:rPr>
                <w:sz w:val="22"/>
              </w:rPr>
              <w:t>dr.posebne</w:t>
            </w:r>
            <w:proofErr w:type="spellEnd"/>
            <w:r>
              <w:rPr>
                <w:sz w:val="22"/>
              </w:rPr>
              <w:t xml:space="preserve"> usluge – Prostorni plan</w:t>
            </w:r>
          </w:p>
        </w:tc>
        <w:tc>
          <w:tcPr>
            <w:tcW w:w="3260" w:type="dxa"/>
          </w:tcPr>
          <w:p w:rsidR="00FF0DFA" w:rsidRPr="00A15A60" w:rsidRDefault="00771570" w:rsidP="00FF0DFA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7.523</w:t>
            </w:r>
          </w:p>
        </w:tc>
        <w:tc>
          <w:tcPr>
            <w:tcW w:w="1525" w:type="dxa"/>
          </w:tcPr>
          <w:p w:rsidR="00FF0DFA" w:rsidRPr="00A15A60" w:rsidRDefault="00771570" w:rsidP="00FF0DFA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</w:tr>
      <w:tr w:rsidR="00F52A77" w:rsidRPr="00A15A60" w:rsidTr="000404AD">
        <w:trPr>
          <w:cnfStyle w:val="000000100000"/>
        </w:trPr>
        <w:tc>
          <w:tcPr>
            <w:cnfStyle w:val="001000000000"/>
            <w:tcW w:w="4503" w:type="dxa"/>
          </w:tcPr>
          <w:p w:rsidR="00F52A77" w:rsidRPr="00A15A60" w:rsidRDefault="00F52A77" w:rsidP="000404AD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3260" w:type="dxa"/>
          </w:tcPr>
          <w:p w:rsidR="00F52A77" w:rsidRPr="00A15A60" w:rsidRDefault="002B4957" w:rsidP="000404AD">
            <w:pPr>
              <w:ind w:right="743"/>
              <w:jc w:val="right"/>
              <w:cnfStyle w:val="0000001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771570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771570">
              <w:rPr>
                <w:b/>
                <w:noProof/>
                <w:sz w:val="22"/>
              </w:rPr>
              <w:t>2.478.903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525" w:type="dxa"/>
          </w:tcPr>
          <w:p w:rsidR="00F52A77" w:rsidRPr="00A15A60" w:rsidRDefault="002B4957" w:rsidP="00A176A8">
            <w:pPr>
              <w:ind w:right="283"/>
              <w:jc w:val="right"/>
              <w:cnfStyle w:val="0000001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771570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771570"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 w:rsidR="00771570">
              <w:rPr>
                <w:b/>
                <w:sz w:val="22"/>
              </w:rPr>
              <w:t>,00</w:t>
            </w:r>
          </w:p>
        </w:tc>
      </w:tr>
    </w:tbl>
    <w:p w:rsidR="00AD16F2" w:rsidRDefault="00AD16F2" w:rsidP="00AD16F2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4934162" cy="2658533"/>
            <wp:effectExtent l="1905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16F2" w:rsidRDefault="00AD16F2" w:rsidP="00AD16F2">
      <w:pPr>
        <w:jc w:val="both"/>
        <w:rPr>
          <w:sz w:val="20"/>
          <w:szCs w:val="20"/>
        </w:rPr>
      </w:pPr>
      <w:r w:rsidRPr="00633355">
        <w:rPr>
          <w:sz w:val="20"/>
          <w:szCs w:val="20"/>
        </w:rPr>
        <w:t xml:space="preserve">Graf </w:t>
      </w:r>
      <w:r>
        <w:rPr>
          <w:sz w:val="20"/>
          <w:szCs w:val="20"/>
        </w:rPr>
        <w:t>1</w:t>
      </w:r>
      <w:r w:rsidR="00A832B5">
        <w:rPr>
          <w:sz w:val="20"/>
          <w:szCs w:val="20"/>
        </w:rPr>
        <w:t>3</w:t>
      </w:r>
      <w:r w:rsidRPr="00633355">
        <w:rPr>
          <w:sz w:val="20"/>
          <w:szCs w:val="20"/>
        </w:rPr>
        <w:t xml:space="preserve">. </w:t>
      </w:r>
      <w:r>
        <w:rPr>
          <w:sz w:val="20"/>
          <w:szCs w:val="20"/>
        </w:rPr>
        <w:t>Struktura izvršenih izdataka za mater</w:t>
      </w:r>
      <w:r w:rsidR="0058643D">
        <w:rPr>
          <w:sz w:val="20"/>
          <w:szCs w:val="20"/>
        </w:rPr>
        <w:t>.</w:t>
      </w:r>
      <w:r>
        <w:rPr>
          <w:sz w:val="20"/>
          <w:szCs w:val="20"/>
        </w:rPr>
        <w:t>, sitan inventar i usluge</w:t>
      </w:r>
      <w:r w:rsidR="002C44D7">
        <w:rPr>
          <w:sz w:val="20"/>
          <w:szCs w:val="20"/>
        </w:rPr>
        <w:t xml:space="preserve"> </w:t>
      </w:r>
      <w:r w:rsidRPr="00633355">
        <w:rPr>
          <w:sz w:val="20"/>
          <w:szCs w:val="20"/>
        </w:rPr>
        <w:t>u razdoblju 01.01.-</w:t>
      </w:r>
      <w:r w:rsidR="00616B23">
        <w:rPr>
          <w:sz w:val="20"/>
          <w:szCs w:val="20"/>
        </w:rPr>
        <w:t>30</w:t>
      </w:r>
      <w:r w:rsidRPr="00633355">
        <w:rPr>
          <w:sz w:val="20"/>
          <w:szCs w:val="20"/>
        </w:rPr>
        <w:t>.0</w:t>
      </w:r>
      <w:r w:rsidR="00771570">
        <w:rPr>
          <w:sz w:val="20"/>
          <w:szCs w:val="20"/>
        </w:rPr>
        <w:t>9</w:t>
      </w:r>
      <w:r w:rsidRPr="00633355">
        <w:rPr>
          <w:sz w:val="20"/>
          <w:szCs w:val="20"/>
        </w:rPr>
        <w:t>.20</w:t>
      </w:r>
      <w:r w:rsidR="00D05D4A">
        <w:rPr>
          <w:sz w:val="20"/>
          <w:szCs w:val="20"/>
        </w:rPr>
        <w:t>20</w:t>
      </w:r>
      <w:r w:rsidRPr="00633355">
        <w:rPr>
          <w:sz w:val="20"/>
          <w:szCs w:val="20"/>
        </w:rPr>
        <w:t>. godine</w:t>
      </w:r>
    </w:p>
    <w:p w:rsidR="00F7492B" w:rsidRDefault="00F7492B" w:rsidP="00BC349D">
      <w:pPr>
        <w:pStyle w:val="Uvuenotijeloteksta"/>
        <w:spacing w:line="240" w:lineRule="auto"/>
        <w:ind w:firstLine="0"/>
      </w:pPr>
    </w:p>
    <w:p w:rsidR="005C3411" w:rsidRPr="005C3411" w:rsidRDefault="00BC349D" w:rsidP="005C3411">
      <w:pPr>
        <w:pStyle w:val="Uvuenotijeloteksta"/>
        <w:spacing w:line="240" w:lineRule="auto"/>
        <w:ind w:firstLine="0"/>
      </w:pPr>
      <w:r w:rsidRPr="00913F28">
        <w:t>U odnosu na isto razdoblje 201</w:t>
      </w:r>
      <w:r w:rsidR="00D05D4A">
        <w:t>9</w:t>
      </w:r>
      <w:r w:rsidRPr="00913F28">
        <w:t xml:space="preserve">. godine izdaci za materijal, sitan inventar i usluge </w:t>
      </w:r>
      <w:r w:rsidR="007D23ED">
        <w:t>manji</w:t>
      </w:r>
      <w:r w:rsidRPr="00913F28">
        <w:t xml:space="preserve"> su za </w:t>
      </w:r>
      <w:r w:rsidR="00F631F1">
        <w:t>8,11</w:t>
      </w:r>
      <w:r w:rsidRPr="00913F28">
        <w:t>%</w:t>
      </w:r>
      <w:r w:rsidR="00FF0DFA">
        <w:t>,</w:t>
      </w:r>
      <w:r w:rsidRPr="00913F28">
        <w:t xml:space="preserve"> odnosno u apsolutnom iznosu </w:t>
      </w:r>
      <w:r w:rsidR="007D23ED">
        <w:t>manji</w:t>
      </w:r>
      <w:r w:rsidR="00B47B65">
        <w:t xml:space="preserve"> </w:t>
      </w:r>
      <w:r w:rsidRPr="00913F28">
        <w:t xml:space="preserve">za </w:t>
      </w:r>
      <w:r w:rsidR="00F631F1">
        <w:t>218.749</w:t>
      </w:r>
      <w:r w:rsidRPr="00913F28">
        <w:t xml:space="preserve"> KM. </w:t>
      </w:r>
      <w:r w:rsidR="003D041C" w:rsidRPr="00913F28">
        <w:t>P</w:t>
      </w:r>
      <w:r w:rsidRPr="00913F28">
        <w:t xml:space="preserve">ovećanja </w:t>
      </w:r>
      <w:r w:rsidR="0078792C">
        <w:t xml:space="preserve">potrošnje </w:t>
      </w:r>
      <w:r w:rsidR="00D05D4A">
        <w:t xml:space="preserve">u odnosu na isto razdoblje prethodne godine </w:t>
      </w:r>
      <w:r w:rsidRPr="00913F28">
        <w:t xml:space="preserve">se uočavaju </w:t>
      </w:r>
      <w:r w:rsidR="00C15165">
        <w:t xml:space="preserve">samo </w:t>
      </w:r>
      <w:r w:rsidRPr="00913F28">
        <w:t>na pozicijama</w:t>
      </w:r>
      <w:r w:rsidR="003D041C" w:rsidRPr="00913F28">
        <w:t xml:space="preserve">: </w:t>
      </w:r>
      <w:r w:rsidR="00F631F1">
        <w:t>nabavka materijala i sitnog inventara</w:t>
      </w:r>
      <w:r w:rsidR="00D05D4A">
        <w:t>,</w:t>
      </w:r>
      <w:r w:rsidR="00F631F1">
        <w:t xml:space="preserve"> izdaci za tekuće </w:t>
      </w:r>
      <w:proofErr w:type="spellStart"/>
      <w:r w:rsidR="00F631F1">
        <w:t>pdržavanje</w:t>
      </w:r>
      <w:proofErr w:type="spellEnd"/>
      <w:r w:rsidR="00F631F1">
        <w:t>,</w:t>
      </w:r>
      <w:r w:rsidR="00D05D4A">
        <w:t xml:space="preserve"> </w:t>
      </w:r>
      <w:r w:rsidR="00C15165">
        <w:t xml:space="preserve">te </w:t>
      </w:r>
      <w:r w:rsidR="00D05D4A">
        <w:t>izdaci osiguranja, bankarskih usluga i usluga platnog prometa. N</w:t>
      </w:r>
      <w:r w:rsidR="007D23ED">
        <w:t xml:space="preserve">a svim ostalim glavnim skupinama izdataka za materijal, sitan inventar i usluge došlo </w:t>
      </w:r>
      <w:r w:rsidR="00D05D4A">
        <w:t xml:space="preserve">je </w:t>
      </w:r>
      <w:r w:rsidR="007D23ED">
        <w:t>do smanjenja potrošnje u odnosu na 01.01.-</w:t>
      </w:r>
      <w:r w:rsidR="00C15165">
        <w:t>30</w:t>
      </w:r>
      <w:r w:rsidR="007D23ED">
        <w:t>.0</w:t>
      </w:r>
      <w:r w:rsidR="00F631F1">
        <w:t>9</w:t>
      </w:r>
      <w:r w:rsidR="007D23ED">
        <w:t>.201</w:t>
      </w:r>
      <w:r w:rsidR="00D05D4A">
        <w:t>9</w:t>
      </w:r>
      <w:r w:rsidR="007D23ED">
        <w:t>. godine</w:t>
      </w:r>
      <w:r w:rsidR="00D05D4A">
        <w:t>, a najveća smanjenja uoča</w:t>
      </w:r>
      <w:r w:rsidR="00C15165">
        <w:t>vaju se na izdacima za energiju</w:t>
      </w:r>
      <w:r w:rsidR="00F631F1">
        <w:t>,</w:t>
      </w:r>
      <w:r w:rsidR="00C15165">
        <w:t xml:space="preserve"> te ugovorenim i drugim posebnim uslugama (redovitim), što je rezultat primijenjenih mjera zaštite i suzbijanja </w:t>
      </w:r>
      <w:proofErr w:type="spellStart"/>
      <w:r w:rsidR="00C15165">
        <w:t>pandemije</w:t>
      </w:r>
      <w:proofErr w:type="spellEnd"/>
      <w:r w:rsidR="00C15165">
        <w:t xml:space="preserve"> COVID-19, u vidu zatvaranja školskih objekata i smanjenja ugovorenih obveza za obavljanje privremenih i povremenih </w:t>
      </w:r>
      <w:r w:rsidR="00C15165" w:rsidRPr="005C3411">
        <w:t>poslova.</w:t>
      </w:r>
      <w:r w:rsidR="005C3411">
        <w:t xml:space="preserve"> O</w:t>
      </w:r>
      <w:r w:rsidR="005C3411" w:rsidRPr="005C3411">
        <w:t xml:space="preserve">d ukupno </w:t>
      </w:r>
      <w:r w:rsidR="005C3411">
        <w:t>izvršenih</w:t>
      </w:r>
      <w:r w:rsidR="005C3411" w:rsidRPr="005C3411">
        <w:t xml:space="preserve"> izdataka za materijal, sitan inventar i usluge </w:t>
      </w:r>
      <w:r w:rsidR="005C3411">
        <w:t>94,</w:t>
      </w:r>
      <w:r w:rsidR="00F631F1">
        <w:t>33</w:t>
      </w:r>
      <w:r w:rsidR="005C3411" w:rsidRPr="005C3411">
        <w:t xml:space="preserve">% </w:t>
      </w:r>
      <w:r w:rsidR="005C3411">
        <w:t>financirano je</w:t>
      </w:r>
      <w:r w:rsidR="005C3411" w:rsidRPr="005C3411">
        <w:t xml:space="preserve"> iz proračunskih prihoda (</w:t>
      </w:r>
      <w:r w:rsidR="00F631F1">
        <w:t>2.338.348</w:t>
      </w:r>
      <w:r w:rsidR="005C3411" w:rsidRPr="005C3411">
        <w:t xml:space="preserve"> KM), dok </w:t>
      </w:r>
      <w:r w:rsidR="005C3411">
        <w:t>je</w:t>
      </w:r>
      <w:r w:rsidR="005C3411" w:rsidRPr="005C3411">
        <w:t xml:space="preserve"> </w:t>
      </w:r>
      <w:r w:rsidR="005C3411">
        <w:t>5,</w:t>
      </w:r>
      <w:r w:rsidR="00F631F1">
        <w:t>67</w:t>
      </w:r>
      <w:r w:rsidR="005C3411" w:rsidRPr="005C3411">
        <w:t xml:space="preserve">% ili </w:t>
      </w:r>
      <w:r w:rsidR="00F631F1">
        <w:t>140.555</w:t>
      </w:r>
      <w:r w:rsidR="005C3411" w:rsidRPr="005C3411">
        <w:t xml:space="preserve"> KM </w:t>
      </w:r>
      <w:r w:rsidR="005C3411">
        <w:t>financirano</w:t>
      </w:r>
      <w:r w:rsidR="005C3411" w:rsidRPr="005C3411">
        <w:t xml:space="preserve"> iz ostalih izvora (namjenski prihodi</w:t>
      </w:r>
      <w:r w:rsidR="00F631F1">
        <w:t xml:space="preserve"> i tekuće potpore</w:t>
      </w:r>
      <w:r w:rsidR="005C3411" w:rsidRPr="005C3411">
        <w:t>).</w:t>
      </w:r>
    </w:p>
    <w:p w:rsidR="005C3411" w:rsidRPr="00846DC4" w:rsidRDefault="005C3411" w:rsidP="00AD16F2">
      <w:pPr>
        <w:pStyle w:val="Uvuenotijeloteksta"/>
        <w:spacing w:line="240" w:lineRule="auto"/>
        <w:ind w:firstLine="0"/>
        <w:rPr>
          <w:highlight w:val="yellow"/>
        </w:rPr>
      </w:pPr>
    </w:p>
    <w:p w:rsidR="00AD16F2" w:rsidRDefault="00AD16F2" w:rsidP="00AD16F2">
      <w:pPr>
        <w:pStyle w:val="Uvuenotijeloteksta"/>
        <w:spacing w:line="240" w:lineRule="auto"/>
        <w:ind w:firstLine="0"/>
      </w:pPr>
      <w:r w:rsidRPr="00AA0D7F">
        <w:rPr>
          <w:b/>
        </w:rPr>
        <w:t xml:space="preserve">Izdaci za tekuće </w:t>
      </w:r>
      <w:proofErr w:type="spellStart"/>
      <w:r w:rsidRPr="00AA0D7F">
        <w:rPr>
          <w:b/>
        </w:rPr>
        <w:t>grantove</w:t>
      </w:r>
      <w:proofErr w:type="spellEnd"/>
      <w:r w:rsidRPr="00AA0D7F">
        <w:rPr>
          <w:b/>
        </w:rPr>
        <w:t xml:space="preserve"> (potkategorija 614000) </w:t>
      </w:r>
      <w:r w:rsidRPr="0058643D">
        <w:t xml:space="preserve">ostvareni su u apsolutnom iznosu od </w:t>
      </w:r>
      <w:r w:rsidR="00F631F1">
        <w:t>7.532.127</w:t>
      </w:r>
      <w:r w:rsidRPr="0058643D">
        <w:t xml:space="preserve"> KM, odnosno </w:t>
      </w:r>
      <w:r w:rsidR="00F631F1">
        <w:t>60,66</w:t>
      </w:r>
      <w:r w:rsidRPr="0058643D">
        <w:t xml:space="preserve">% u odnosu na planirane </w:t>
      </w:r>
      <w:r w:rsidR="00BC349D" w:rsidRPr="0058643D">
        <w:t>rashode</w:t>
      </w:r>
      <w:r w:rsidRPr="0058643D">
        <w:t xml:space="preserve"> po ovoj namjeni. U tablici </w:t>
      </w:r>
      <w:r w:rsidR="00A832B5" w:rsidRPr="0058643D">
        <w:t>12</w:t>
      </w:r>
      <w:r w:rsidRPr="0058643D">
        <w:t>.</w:t>
      </w:r>
      <w:r w:rsidRPr="003D041C">
        <w:t xml:space="preserve"> i na Grafu 1</w:t>
      </w:r>
      <w:r w:rsidR="00A832B5" w:rsidRPr="003D041C">
        <w:t>4</w:t>
      </w:r>
      <w:r w:rsidRPr="003D041C">
        <w:t xml:space="preserve">. prikazana je struktura izvršenih tekućih </w:t>
      </w:r>
      <w:proofErr w:type="spellStart"/>
      <w:r w:rsidRPr="003D041C">
        <w:t>grantova</w:t>
      </w:r>
      <w:proofErr w:type="spellEnd"/>
      <w:r w:rsidRPr="003D041C">
        <w:t xml:space="preserve"> u razdoblju 01.01.-</w:t>
      </w:r>
      <w:r w:rsidR="00C15165">
        <w:t>30</w:t>
      </w:r>
      <w:r w:rsidRPr="003D041C">
        <w:t>.0</w:t>
      </w:r>
      <w:r w:rsidR="00F631F1">
        <w:t>9</w:t>
      </w:r>
      <w:r w:rsidRPr="003D041C">
        <w:t>.20</w:t>
      </w:r>
      <w:r w:rsidR="00D05D4A">
        <w:t>20</w:t>
      </w:r>
      <w:r w:rsidRPr="003D041C">
        <w:t>.</w:t>
      </w:r>
      <w:r>
        <w:t xml:space="preserve"> godine.</w:t>
      </w:r>
    </w:p>
    <w:p w:rsidR="00AD16F2" w:rsidRDefault="00AD16F2" w:rsidP="00AD16F2">
      <w:pPr>
        <w:pStyle w:val="Uvuenotijeloteksta"/>
        <w:spacing w:line="240" w:lineRule="auto"/>
        <w:ind w:firstLine="0"/>
      </w:pPr>
    </w:p>
    <w:p w:rsidR="00AD16F2" w:rsidRPr="00FD3224" w:rsidRDefault="00AD16F2" w:rsidP="00AD16F2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t xml:space="preserve">Tablica </w:t>
      </w:r>
      <w:r w:rsidR="00A832B5">
        <w:rPr>
          <w:sz w:val="20"/>
          <w:szCs w:val="20"/>
        </w:rPr>
        <w:t>12</w:t>
      </w:r>
      <w:r w:rsidRPr="00FD3224">
        <w:rPr>
          <w:sz w:val="20"/>
          <w:szCs w:val="20"/>
        </w:rPr>
        <w:t xml:space="preserve">. Struktura </w:t>
      </w:r>
      <w:r>
        <w:rPr>
          <w:sz w:val="20"/>
          <w:szCs w:val="20"/>
        </w:rPr>
        <w:t xml:space="preserve">izvršenih tekućih </w:t>
      </w:r>
      <w:proofErr w:type="spellStart"/>
      <w:r>
        <w:rPr>
          <w:sz w:val="20"/>
          <w:szCs w:val="20"/>
        </w:rPr>
        <w:t>grantova</w:t>
      </w:r>
      <w:proofErr w:type="spellEnd"/>
      <w:r w:rsidRPr="00FD3224">
        <w:rPr>
          <w:sz w:val="20"/>
          <w:szCs w:val="20"/>
        </w:rPr>
        <w:t xml:space="preserve"> Proračuna </w:t>
      </w:r>
      <w:proofErr w:type="spellStart"/>
      <w:r w:rsidRPr="00FD3224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FD3224">
        <w:rPr>
          <w:sz w:val="20"/>
          <w:szCs w:val="20"/>
        </w:rPr>
        <w:t>Posavske</w:t>
      </w:r>
      <w:proofErr w:type="spellEnd"/>
      <w:r w:rsidRPr="00FD3224">
        <w:rPr>
          <w:sz w:val="20"/>
          <w:szCs w:val="20"/>
        </w:rPr>
        <w:t xml:space="preserve"> u razdoblju 01.01.-</w:t>
      </w:r>
      <w:r w:rsidR="00C15165">
        <w:rPr>
          <w:sz w:val="20"/>
          <w:szCs w:val="20"/>
        </w:rPr>
        <w:t>30</w:t>
      </w:r>
      <w:r w:rsidRPr="00FD3224">
        <w:rPr>
          <w:sz w:val="20"/>
          <w:szCs w:val="20"/>
        </w:rPr>
        <w:t>.0</w:t>
      </w:r>
      <w:r w:rsidR="00F631F1">
        <w:rPr>
          <w:sz w:val="20"/>
          <w:szCs w:val="20"/>
        </w:rPr>
        <w:t>9</w:t>
      </w:r>
      <w:r w:rsidRPr="00FD3224">
        <w:rPr>
          <w:sz w:val="20"/>
          <w:szCs w:val="20"/>
        </w:rPr>
        <w:t>.20</w:t>
      </w:r>
      <w:r w:rsidR="00D05D4A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.</w:t>
      </w:r>
    </w:p>
    <w:tbl>
      <w:tblPr>
        <w:tblStyle w:val="Srednjipopis21"/>
        <w:tblW w:w="0" w:type="auto"/>
        <w:tblLook w:val="04A0"/>
      </w:tblPr>
      <w:tblGrid>
        <w:gridCol w:w="4644"/>
        <w:gridCol w:w="3119"/>
        <w:gridCol w:w="1525"/>
      </w:tblGrid>
      <w:tr w:rsidR="00AD16F2" w:rsidRPr="00A15A60" w:rsidTr="005614C7">
        <w:trPr>
          <w:cnfStyle w:val="100000000000"/>
        </w:trPr>
        <w:tc>
          <w:tcPr>
            <w:cnfStyle w:val="001000000100"/>
            <w:tcW w:w="4644" w:type="dxa"/>
            <w:vAlign w:val="center"/>
          </w:tcPr>
          <w:p w:rsidR="00AD16F2" w:rsidRPr="00A15A60" w:rsidRDefault="00AD16F2" w:rsidP="005614C7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3119" w:type="dxa"/>
          </w:tcPr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AD16F2" w:rsidRPr="00A15A60" w:rsidRDefault="00AD16F2" w:rsidP="00F631F1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01.01.-</w:t>
            </w:r>
            <w:r w:rsidR="00C15165">
              <w:rPr>
                <w:b/>
                <w:sz w:val="22"/>
              </w:rPr>
              <w:t>30</w:t>
            </w:r>
            <w:r w:rsidRPr="00A15A60">
              <w:rPr>
                <w:b/>
                <w:sz w:val="22"/>
              </w:rPr>
              <w:t>.0</w:t>
            </w:r>
            <w:r w:rsidR="00F631F1">
              <w:rPr>
                <w:b/>
                <w:sz w:val="22"/>
              </w:rPr>
              <w:t>9</w:t>
            </w:r>
            <w:r w:rsidRPr="00A15A60">
              <w:rPr>
                <w:b/>
                <w:sz w:val="22"/>
              </w:rPr>
              <w:t>.20</w:t>
            </w:r>
            <w:r w:rsidR="00D05D4A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>.g. (u KM)</w:t>
            </w:r>
          </w:p>
        </w:tc>
        <w:tc>
          <w:tcPr>
            <w:tcW w:w="1525" w:type="dxa"/>
          </w:tcPr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AD16F2" w:rsidRPr="00A15A60" w:rsidRDefault="00AD16F2" w:rsidP="005614C7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5614C7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5614C7" w:rsidRPr="006F59F3" w:rsidRDefault="005614C7" w:rsidP="00F77805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>Grant za Sveučilište u Mostaru</w:t>
            </w:r>
          </w:p>
        </w:tc>
        <w:tc>
          <w:tcPr>
            <w:tcW w:w="3119" w:type="dxa"/>
            <w:vAlign w:val="center"/>
          </w:tcPr>
          <w:p w:rsidR="005614C7" w:rsidRDefault="00C15165" w:rsidP="00F631F1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</w:t>
            </w:r>
            <w:r w:rsidR="00F631F1">
              <w:rPr>
                <w:sz w:val="22"/>
              </w:rPr>
              <w:t>5</w:t>
            </w:r>
            <w:r>
              <w:rPr>
                <w:sz w:val="22"/>
              </w:rPr>
              <w:t>0.000</w:t>
            </w:r>
          </w:p>
        </w:tc>
        <w:tc>
          <w:tcPr>
            <w:tcW w:w="1525" w:type="dxa"/>
            <w:vAlign w:val="center"/>
          </w:tcPr>
          <w:p w:rsidR="005614C7" w:rsidRPr="00A15A60" w:rsidRDefault="00F631F1" w:rsidP="006A5573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1,99</w:t>
            </w:r>
          </w:p>
        </w:tc>
      </w:tr>
      <w:tr w:rsidR="00D05D4A" w:rsidRPr="00A15A60" w:rsidTr="00635B2E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D05D4A" w:rsidRPr="006F59F3" w:rsidRDefault="00D05D4A" w:rsidP="00635B2E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Grant za razvoj turizma</w:t>
            </w:r>
          </w:p>
        </w:tc>
        <w:tc>
          <w:tcPr>
            <w:tcW w:w="3119" w:type="dxa"/>
            <w:vAlign w:val="center"/>
          </w:tcPr>
          <w:p w:rsidR="00D05D4A" w:rsidRPr="00A15A60" w:rsidRDefault="00F631F1" w:rsidP="00635B2E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05D4A" w:rsidRPr="00A15A60" w:rsidRDefault="00F631F1" w:rsidP="00635B2E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5614C7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5614C7" w:rsidRPr="006F59F3" w:rsidRDefault="005614C7" w:rsidP="00F77805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nižim razinama vlasti</w:t>
            </w:r>
          </w:p>
        </w:tc>
        <w:tc>
          <w:tcPr>
            <w:tcW w:w="3119" w:type="dxa"/>
            <w:vAlign w:val="center"/>
          </w:tcPr>
          <w:p w:rsidR="005614C7" w:rsidRPr="00A15A60" w:rsidRDefault="00F631F1" w:rsidP="00F77805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132.848</w:t>
            </w:r>
          </w:p>
        </w:tc>
        <w:tc>
          <w:tcPr>
            <w:tcW w:w="1525" w:type="dxa"/>
            <w:vAlign w:val="center"/>
          </w:tcPr>
          <w:p w:rsidR="005614C7" w:rsidRPr="00A15A60" w:rsidRDefault="00F631F1" w:rsidP="00F77805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1,76</w:t>
            </w:r>
          </w:p>
        </w:tc>
      </w:tr>
      <w:tr w:rsidR="005614C7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5614C7" w:rsidRPr="006F59F3" w:rsidRDefault="005614C7" w:rsidP="00F77805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 xml:space="preserve">Transfer za </w:t>
            </w: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zdrav.institucije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i centre za </w:t>
            </w: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soc.rad</w:t>
            </w:r>
            <w:proofErr w:type="spellEnd"/>
          </w:p>
        </w:tc>
        <w:tc>
          <w:tcPr>
            <w:tcW w:w="3119" w:type="dxa"/>
            <w:vAlign w:val="center"/>
          </w:tcPr>
          <w:p w:rsidR="005614C7" w:rsidRPr="00A15A60" w:rsidRDefault="00F631F1" w:rsidP="00F77805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636.000</w:t>
            </w:r>
          </w:p>
        </w:tc>
        <w:tc>
          <w:tcPr>
            <w:tcW w:w="1525" w:type="dxa"/>
            <w:vAlign w:val="center"/>
          </w:tcPr>
          <w:p w:rsidR="005614C7" w:rsidRPr="00A15A60" w:rsidRDefault="00F631F1" w:rsidP="00B47B65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8,44</w:t>
            </w:r>
          </w:p>
        </w:tc>
      </w:tr>
      <w:tr w:rsidR="005614C7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5614C7" w:rsidRPr="006F59F3" w:rsidRDefault="005614C7" w:rsidP="00F77805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Grant za zaštitu okoliša</w:t>
            </w:r>
          </w:p>
        </w:tc>
        <w:tc>
          <w:tcPr>
            <w:tcW w:w="3119" w:type="dxa"/>
            <w:vAlign w:val="center"/>
          </w:tcPr>
          <w:p w:rsidR="005614C7" w:rsidRPr="00A15A60" w:rsidRDefault="00F631F1" w:rsidP="00F77805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15.000</w:t>
            </w:r>
          </w:p>
        </w:tc>
        <w:tc>
          <w:tcPr>
            <w:tcW w:w="1525" w:type="dxa"/>
            <w:vAlign w:val="center"/>
          </w:tcPr>
          <w:p w:rsidR="005614C7" w:rsidRPr="00A15A60" w:rsidRDefault="00F631F1" w:rsidP="00F77805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</w:tr>
      <w:tr w:rsidR="00F52A77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F52A77" w:rsidRPr="006F59F3" w:rsidRDefault="00F52A77" w:rsidP="000404AD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šumarstvo</w:t>
            </w:r>
          </w:p>
        </w:tc>
        <w:tc>
          <w:tcPr>
            <w:tcW w:w="3119" w:type="dxa"/>
            <w:vAlign w:val="center"/>
          </w:tcPr>
          <w:p w:rsidR="00F52A77" w:rsidRPr="00A15A60" w:rsidRDefault="00F631F1" w:rsidP="00133C6E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5.193</w:t>
            </w:r>
          </w:p>
        </w:tc>
        <w:tc>
          <w:tcPr>
            <w:tcW w:w="1525" w:type="dxa"/>
            <w:vAlign w:val="center"/>
          </w:tcPr>
          <w:p w:rsidR="00F52A77" w:rsidRPr="00A15A60" w:rsidRDefault="00F631F1" w:rsidP="000404AD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0,07</w:t>
            </w:r>
          </w:p>
        </w:tc>
      </w:tr>
      <w:tr w:rsidR="00F52A77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F52A77" w:rsidRPr="006F59F3" w:rsidRDefault="00F52A77" w:rsidP="000404AD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 xml:space="preserve">Grant.za </w:t>
            </w: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fin.višeg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i vis</w:t>
            </w:r>
            <w:r>
              <w:rPr>
                <w:rFonts w:eastAsia="Times New Roman"/>
                <w:color w:val="000000"/>
                <w:sz w:val="22"/>
              </w:rPr>
              <w:t>.</w:t>
            </w:r>
            <w:r w:rsidRPr="006F59F3">
              <w:rPr>
                <w:rFonts w:eastAsia="Times New Roman"/>
                <w:color w:val="000000"/>
                <w:sz w:val="22"/>
              </w:rPr>
              <w:t>obraz.i Zavoda za školstvo</w:t>
            </w:r>
          </w:p>
        </w:tc>
        <w:tc>
          <w:tcPr>
            <w:tcW w:w="3119" w:type="dxa"/>
            <w:vAlign w:val="center"/>
          </w:tcPr>
          <w:p w:rsidR="00F52A77" w:rsidRPr="00A15A60" w:rsidRDefault="00F631F1" w:rsidP="000404AD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96.936</w:t>
            </w:r>
          </w:p>
        </w:tc>
        <w:tc>
          <w:tcPr>
            <w:tcW w:w="1525" w:type="dxa"/>
            <w:vAlign w:val="center"/>
          </w:tcPr>
          <w:p w:rsidR="00F52A77" w:rsidRPr="00A15A60" w:rsidRDefault="00F631F1" w:rsidP="000404AD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1,29</w:t>
            </w:r>
          </w:p>
        </w:tc>
      </w:tr>
      <w:tr w:rsidR="002C44D7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2C44D7" w:rsidRPr="006F59F3" w:rsidRDefault="002C44D7" w:rsidP="002C44D7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Transfer za sufinanciranje prijevoza učenika</w:t>
            </w:r>
          </w:p>
        </w:tc>
        <w:tc>
          <w:tcPr>
            <w:tcW w:w="3119" w:type="dxa"/>
            <w:vAlign w:val="center"/>
          </w:tcPr>
          <w:p w:rsidR="002C44D7" w:rsidRPr="00A15A60" w:rsidRDefault="00F631F1" w:rsidP="002C44D7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83.347</w:t>
            </w:r>
          </w:p>
        </w:tc>
        <w:tc>
          <w:tcPr>
            <w:tcW w:w="1525" w:type="dxa"/>
            <w:vAlign w:val="center"/>
          </w:tcPr>
          <w:p w:rsidR="002C44D7" w:rsidRPr="00A15A60" w:rsidRDefault="00F631F1" w:rsidP="002C44D7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1,11</w:t>
            </w:r>
          </w:p>
        </w:tc>
      </w:tr>
      <w:tr w:rsidR="00F909C9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 xml:space="preserve">Grant za </w:t>
            </w: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sufin.nabavke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udžbenika učenicima</w:t>
            </w:r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149.800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1D60BF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1,99</w:t>
            </w:r>
          </w:p>
        </w:tc>
      </w:tr>
      <w:tr w:rsidR="00F909C9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povratak raseljenih osoba</w:t>
            </w:r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1D60BF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F909C9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7B7510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zdravstvene potrebe</w:t>
            </w:r>
          </w:p>
        </w:tc>
        <w:tc>
          <w:tcPr>
            <w:tcW w:w="3119" w:type="dxa"/>
            <w:vAlign w:val="center"/>
          </w:tcPr>
          <w:p w:rsidR="00F909C9" w:rsidRDefault="00F631F1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40.000</w:t>
            </w:r>
          </w:p>
        </w:tc>
        <w:tc>
          <w:tcPr>
            <w:tcW w:w="1525" w:type="dxa"/>
            <w:vAlign w:val="center"/>
          </w:tcPr>
          <w:p w:rsidR="00F909C9" w:rsidRDefault="00F631F1" w:rsidP="00237E33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0,53</w:t>
            </w:r>
          </w:p>
        </w:tc>
      </w:tr>
      <w:tr w:rsidR="007B7510" w:rsidRPr="00A15A60" w:rsidTr="005A6EA1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7B7510" w:rsidRPr="006F59F3" w:rsidRDefault="007B7510" w:rsidP="007B7510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</w:t>
            </w:r>
            <w:r>
              <w:rPr>
                <w:rFonts w:eastAsia="Times New Roman"/>
                <w:color w:val="000000"/>
                <w:sz w:val="22"/>
              </w:rPr>
              <w:t>socijalne</w:t>
            </w:r>
            <w:r w:rsidRPr="006F59F3">
              <w:rPr>
                <w:rFonts w:eastAsia="Times New Roman"/>
                <w:color w:val="000000"/>
                <w:sz w:val="22"/>
              </w:rPr>
              <w:t xml:space="preserve"> potrebe</w:t>
            </w:r>
          </w:p>
        </w:tc>
        <w:tc>
          <w:tcPr>
            <w:tcW w:w="3119" w:type="dxa"/>
            <w:vAlign w:val="center"/>
          </w:tcPr>
          <w:p w:rsidR="007B7510" w:rsidRDefault="00F631F1" w:rsidP="005A6EA1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2.158.839</w:t>
            </w:r>
          </w:p>
        </w:tc>
        <w:tc>
          <w:tcPr>
            <w:tcW w:w="1525" w:type="dxa"/>
            <w:vAlign w:val="center"/>
          </w:tcPr>
          <w:p w:rsidR="007B7510" w:rsidRDefault="00F631F1" w:rsidP="005A6EA1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28,66</w:t>
            </w:r>
          </w:p>
        </w:tc>
      </w:tr>
      <w:tr w:rsidR="00F909C9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>Isplate stipendija</w:t>
            </w:r>
          </w:p>
        </w:tc>
        <w:tc>
          <w:tcPr>
            <w:tcW w:w="3119" w:type="dxa"/>
            <w:vAlign w:val="center"/>
          </w:tcPr>
          <w:p w:rsidR="00F909C9" w:rsidRDefault="00F631F1" w:rsidP="00133C6E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118.800</w:t>
            </w:r>
          </w:p>
        </w:tc>
        <w:tc>
          <w:tcPr>
            <w:tcW w:w="1525" w:type="dxa"/>
            <w:vAlign w:val="center"/>
          </w:tcPr>
          <w:p w:rsidR="00F909C9" w:rsidRDefault="00F631F1" w:rsidP="0058643D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1,58</w:t>
            </w:r>
          </w:p>
        </w:tc>
      </w:tr>
      <w:tr w:rsidR="00F909C9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lastRenderedPageBreak/>
              <w:t xml:space="preserve">Grant za sufin.osn.i sred.obraz.djece s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pos.potreb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15.000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1D60BF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0,20</w:t>
            </w:r>
          </w:p>
        </w:tc>
      </w:tr>
      <w:tr w:rsidR="00F909C9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branitelje i stradalnike </w:t>
            </w: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Dom.rata</w:t>
            </w:r>
            <w:proofErr w:type="spellEnd"/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637.164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635B2E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8,46</w:t>
            </w:r>
          </w:p>
        </w:tc>
      </w:tr>
      <w:tr w:rsidR="00F909C9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zaštitu od prirodnih i drugih nesreća</w:t>
            </w:r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54.513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1D60BF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0,72</w:t>
            </w:r>
          </w:p>
        </w:tc>
      </w:tr>
      <w:tr w:rsidR="00F909C9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političkim strankama</w:t>
            </w:r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93.810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1D60BF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</w:tr>
      <w:tr w:rsidR="00F909C9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neprofitnim </w:t>
            </w: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org.i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udruženjima građana</w:t>
            </w:r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50.000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1D60BF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0,66</w:t>
            </w:r>
          </w:p>
        </w:tc>
      </w:tr>
      <w:tr w:rsidR="00F909C9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>Grant za Crveni križ Županije Posavske</w:t>
            </w:r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22.144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1D60BF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0,29</w:t>
            </w:r>
          </w:p>
        </w:tc>
      </w:tr>
      <w:tr w:rsidR="00F909C9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F909C9" w:rsidRPr="006F59F3" w:rsidRDefault="00F909C9" w:rsidP="001D60BF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>Grant za Kuću nade Odžak</w:t>
            </w:r>
          </w:p>
        </w:tc>
        <w:tc>
          <w:tcPr>
            <w:tcW w:w="3119" w:type="dxa"/>
            <w:vAlign w:val="center"/>
          </w:tcPr>
          <w:p w:rsidR="00F909C9" w:rsidRPr="00A15A60" w:rsidRDefault="00F631F1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28.812</w:t>
            </w:r>
          </w:p>
        </w:tc>
        <w:tc>
          <w:tcPr>
            <w:tcW w:w="1525" w:type="dxa"/>
            <w:vAlign w:val="center"/>
          </w:tcPr>
          <w:p w:rsidR="00F909C9" w:rsidRPr="00A15A60" w:rsidRDefault="00F631F1" w:rsidP="001D60BF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0,38</w:t>
            </w:r>
          </w:p>
        </w:tc>
      </w:tr>
      <w:tr w:rsidR="006A5573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6A5573" w:rsidRPr="00923B62" w:rsidRDefault="006A5573" w:rsidP="00923B6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23B62">
              <w:rPr>
                <w:rFonts w:eastAsia="Times New Roman"/>
                <w:color w:val="000000"/>
                <w:sz w:val="20"/>
                <w:szCs w:val="20"/>
              </w:rPr>
              <w:t>Grant za Udr.rod.djece s pos.potr.Put u život Orašje</w:t>
            </w:r>
          </w:p>
        </w:tc>
        <w:tc>
          <w:tcPr>
            <w:tcW w:w="3119" w:type="dxa"/>
            <w:vAlign w:val="center"/>
          </w:tcPr>
          <w:p w:rsidR="006A5573" w:rsidRPr="00A15A60" w:rsidRDefault="00F631F1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28.812</w:t>
            </w:r>
          </w:p>
        </w:tc>
        <w:tc>
          <w:tcPr>
            <w:tcW w:w="1525" w:type="dxa"/>
            <w:vAlign w:val="center"/>
          </w:tcPr>
          <w:p w:rsidR="006A5573" w:rsidRPr="00A15A60" w:rsidRDefault="00D60DA5" w:rsidP="006A5573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0,38</w:t>
            </w:r>
          </w:p>
        </w:tc>
      </w:tr>
      <w:tr w:rsidR="00D60DA5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167137" w:rsidRDefault="00D60DA5" w:rsidP="0016713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67137">
              <w:rPr>
                <w:rFonts w:eastAsia="Times New Roman"/>
                <w:color w:val="000000"/>
                <w:sz w:val="20"/>
                <w:szCs w:val="20"/>
              </w:rPr>
              <w:t>Grant za Udr.rod.djece s pos.potr.Angelus Domaljevac</w:t>
            </w:r>
          </w:p>
        </w:tc>
        <w:tc>
          <w:tcPr>
            <w:tcW w:w="3119" w:type="dxa"/>
            <w:vAlign w:val="center"/>
          </w:tcPr>
          <w:p w:rsidR="00D60DA5" w:rsidRPr="00A15A60" w:rsidRDefault="00D60DA5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10.860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0,14</w:t>
            </w:r>
          </w:p>
        </w:tc>
      </w:tr>
      <w:tr w:rsidR="00D60DA5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1D60BF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>Grant za Gospodarsku komoru ŽP</w:t>
            </w:r>
          </w:p>
        </w:tc>
        <w:tc>
          <w:tcPr>
            <w:tcW w:w="3119" w:type="dxa"/>
            <w:vAlign w:val="center"/>
          </w:tcPr>
          <w:p w:rsidR="00D60DA5" w:rsidRPr="00A15A60" w:rsidRDefault="00D60DA5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22.500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0,30</w:t>
            </w:r>
          </w:p>
        </w:tc>
      </w:tr>
      <w:tr w:rsidR="00D60DA5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923B62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 xml:space="preserve">Grant za </w:t>
            </w:r>
            <w:r>
              <w:rPr>
                <w:rFonts w:eastAsia="Times New Roman"/>
                <w:color w:val="000000"/>
                <w:sz w:val="22"/>
              </w:rPr>
              <w:t>Obrtničku</w:t>
            </w:r>
            <w:r w:rsidRPr="006F59F3">
              <w:rPr>
                <w:rFonts w:eastAsia="Times New Roman"/>
                <w:color w:val="000000"/>
                <w:sz w:val="22"/>
              </w:rPr>
              <w:t xml:space="preserve"> komoru ŽP</w:t>
            </w:r>
          </w:p>
        </w:tc>
        <w:tc>
          <w:tcPr>
            <w:tcW w:w="3119" w:type="dxa"/>
            <w:vAlign w:val="center"/>
          </w:tcPr>
          <w:p w:rsidR="00D60DA5" w:rsidRPr="00A15A60" w:rsidRDefault="00D60DA5" w:rsidP="00C06951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10.000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</w:tr>
      <w:tr w:rsidR="00D60DA5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informiranje</w:t>
            </w:r>
          </w:p>
        </w:tc>
        <w:tc>
          <w:tcPr>
            <w:tcW w:w="3119" w:type="dxa"/>
            <w:vAlign w:val="center"/>
          </w:tcPr>
          <w:p w:rsidR="00D60DA5" w:rsidRDefault="00D60DA5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75.000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D60DA5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financiranje vjerskih zajednica</w:t>
            </w:r>
          </w:p>
        </w:tc>
        <w:tc>
          <w:tcPr>
            <w:tcW w:w="3119" w:type="dxa"/>
            <w:vAlign w:val="center"/>
          </w:tcPr>
          <w:p w:rsidR="00D60DA5" w:rsidRDefault="00D60DA5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188.320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2,50</w:t>
            </w:r>
          </w:p>
        </w:tc>
      </w:tr>
      <w:tr w:rsidR="00D60DA5" w:rsidRPr="00A15A60" w:rsidTr="00635B2E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635B2E">
            <w:pPr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Grant za sufinanc.prof.vatrogasne postrojbe</w:t>
            </w:r>
          </w:p>
        </w:tc>
        <w:tc>
          <w:tcPr>
            <w:tcW w:w="3119" w:type="dxa"/>
            <w:vAlign w:val="center"/>
          </w:tcPr>
          <w:p w:rsidR="00D60DA5" w:rsidRDefault="00D60DA5" w:rsidP="00635B2E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60DA5" w:rsidRPr="00A15A60" w:rsidTr="00635B2E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635B2E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</w:t>
            </w:r>
            <w:r>
              <w:rPr>
                <w:rFonts w:eastAsia="Times New Roman"/>
                <w:color w:val="000000"/>
                <w:sz w:val="22"/>
              </w:rPr>
              <w:t>s</w:t>
            </w:r>
            <w:r w:rsidRPr="006F59F3">
              <w:rPr>
                <w:rFonts w:eastAsia="Times New Roman"/>
                <w:color w:val="000000"/>
                <w:sz w:val="22"/>
              </w:rPr>
              <w:t>port</w:t>
            </w:r>
          </w:p>
        </w:tc>
        <w:tc>
          <w:tcPr>
            <w:tcW w:w="3119" w:type="dxa"/>
            <w:vAlign w:val="center"/>
          </w:tcPr>
          <w:p w:rsidR="00D60DA5" w:rsidRPr="00A15A60" w:rsidRDefault="00D60DA5" w:rsidP="00635B2E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171.700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2,28</w:t>
            </w:r>
          </w:p>
        </w:tc>
      </w:tr>
      <w:tr w:rsidR="00D60DA5" w:rsidRPr="00A15A60" w:rsidTr="00635B2E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635B2E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</w:t>
            </w:r>
            <w:r>
              <w:rPr>
                <w:rFonts w:eastAsia="Times New Roman"/>
                <w:color w:val="000000"/>
                <w:sz w:val="22"/>
              </w:rPr>
              <w:t>kulturu</w:t>
            </w:r>
          </w:p>
        </w:tc>
        <w:tc>
          <w:tcPr>
            <w:tcW w:w="3119" w:type="dxa"/>
            <w:vAlign w:val="center"/>
          </w:tcPr>
          <w:p w:rsidR="00D60DA5" w:rsidRPr="00A15A60" w:rsidRDefault="00D60DA5" w:rsidP="00635B2E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26.300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0,35</w:t>
            </w:r>
          </w:p>
        </w:tc>
      </w:tr>
      <w:tr w:rsidR="00D60DA5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923B62">
            <w:pPr>
              <w:rPr>
                <w:rFonts w:eastAsia="Times New Roman"/>
                <w:color w:val="000000"/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>Grant za razvoj poduzetništva</w:t>
            </w:r>
            <w:r>
              <w:rPr>
                <w:rFonts w:eastAsia="Times New Roman"/>
                <w:color w:val="000000"/>
                <w:sz w:val="22"/>
              </w:rPr>
              <w:t>,</w:t>
            </w:r>
            <w:r w:rsidRPr="006F59F3">
              <w:rPr>
                <w:rFonts w:eastAsia="Times New Roman"/>
                <w:color w:val="000000"/>
                <w:sz w:val="22"/>
              </w:rPr>
              <w:t xml:space="preserve"> obrta</w:t>
            </w:r>
            <w:r>
              <w:rPr>
                <w:rFonts w:eastAsia="Times New Roman"/>
                <w:color w:val="000000"/>
                <w:sz w:val="22"/>
              </w:rPr>
              <w:t xml:space="preserve"> i zadruga</w:t>
            </w:r>
          </w:p>
        </w:tc>
        <w:tc>
          <w:tcPr>
            <w:tcW w:w="3119" w:type="dxa"/>
            <w:vAlign w:val="center"/>
          </w:tcPr>
          <w:p w:rsidR="00D60DA5" w:rsidRDefault="00D60DA5" w:rsidP="00133C6E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1.266.006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16,81</w:t>
            </w:r>
          </w:p>
        </w:tc>
      </w:tr>
      <w:tr w:rsidR="00D60DA5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za poljoprivredu </w:t>
            </w:r>
          </w:p>
        </w:tc>
        <w:tc>
          <w:tcPr>
            <w:tcW w:w="3119" w:type="dxa"/>
            <w:vAlign w:val="center"/>
          </w:tcPr>
          <w:p w:rsidR="00D60DA5" w:rsidRDefault="00D60DA5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915.108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12,15</w:t>
            </w:r>
          </w:p>
        </w:tc>
      </w:tr>
      <w:tr w:rsidR="00D60DA5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5F0617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za vodoprivredu</w:t>
            </w:r>
          </w:p>
        </w:tc>
        <w:tc>
          <w:tcPr>
            <w:tcW w:w="3119" w:type="dxa"/>
            <w:vAlign w:val="center"/>
          </w:tcPr>
          <w:p w:rsidR="00D60DA5" w:rsidRPr="00A15A60" w:rsidRDefault="00D60DA5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100.000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1,33</w:t>
            </w:r>
          </w:p>
        </w:tc>
      </w:tr>
      <w:tr w:rsidR="00D60DA5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Default="00D60DA5" w:rsidP="001D60BF">
            <w:pPr>
              <w:rPr>
                <w:sz w:val="22"/>
              </w:rPr>
            </w:pPr>
            <w:r>
              <w:rPr>
                <w:sz w:val="22"/>
              </w:rPr>
              <w:t>Grant za uređenje poljoprivrednog zemljišta</w:t>
            </w:r>
          </w:p>
        </w:tc>
        <w:tc>
          <w:tcPr>
            <w:tcW w:w="3119" w:type="dxa"/>
            <w:vAlign w:val="center"/>
          </w:tcPr>
          <w:p w:rsidR="00D60DA5" w:rsidRPr="00A15A60" w:rsidRDefault="00D60DA5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100.000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BA3100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1,33</w:t>
            </w:r>
          </w:p>
        </w:tc>
      </w:tr>
      <w:tr w:rsidR="00D60DA5" w:rsidRPr="00A15A60" w:rsidTr="00785259">
        <w:trPr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Default="00D60DA5" w:rsidP="001D60BF">
            <w:pPr>
              <w:rPr>
                <w:sz w:val="22"/>
              </w:rPr>
            </w:pPr>
            <w:r w:rsidRPr="006F59F3">
              <w:rPr>
                <w:rFonts w:eastAsia="Times New Roman"/>
                <w:color w:val="000000"/>
                <w:sz w:val="22"/>
              </w:rPr>
              <w:t xml:space="preserve">Ostali </w:t>
            </w:r>
            <w:proofErr w:type="spellStart"/>
            <w:r w:rsidRPr="006F59F3">
              <w:rPr>
                <w:rFonts w:eastAsia="Times New Roman"/>
                <w:color w:val="000000"/>
                <w:sz w:val="22"/>
              </w:rPr>
              <w:t>grantovi</w:t>
            </w:r>
            <w:proofErr w:type="spellEnd"/>
            <w:r w:rsidRPr="006F59F3">
              <w:rPr>
                <w:rFonts w:eastAsia="Times New Roman"/>
                <w:color w:val="000000"/>
                <w:sz w:val="22"/>
              </w:rPr>
              <w:t xml:space="preserve"> – povrat i drugo</w:t>
            </w:r>
          </w:p>
        </w:tc>
        <w:tc>
          <w:tcPr>
            <w:tcW w:w="3119" w:type="dxa"/>
            <w:vAlign w:val="center"/>
          </w:tcPr>
          <w:p w:rsidR="00D60DA5" w:rsidRPr="00A15A60" w:rsidRDefault="00D60DA5" w:rsidP="001D60BF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87.317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1D60BF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1,16</w:t>
            </w:r>
          </w:p>
        </w:tc>
      </w:tr>
      <w:tr w:rsidR="00D60DA5" w:rsidRPr="00A15A60" w:rsidTr="00785259">
        <w:trPr>
          <w:cnfStyle w:val="000000100000"/>
          <w:trHeight w:val="227"/>
        </w:trPr>
        <w:tc>
          <w:tcPr>
            <w:cnfStyle w:val="001000000000"/>
            <w:tcW w:w="4644" w:type="dxa"/>
            <w:vAlign w:val="center"/>
          </w:tcPr>
          <w:p w:rsidR="00D60DA5" w:rsidRPr="006F59F3" w:rsidRDefault="00D60DA5" w:rsidP="001D60BF">
            <w:pPr>
              <w:rPr>
                <w:rFonts w:eastAsia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</w:rPr>
              <w:t>Ost.grantovi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izvrš.sudskih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presuda i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rješ.o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</w:rPr>
              <w:t>izvrš</w:t>
            </w:r>
            <w:proofErr w:type="spellEnd"/>
            <w:r>
              <w:rPr>
                <w:rFonts w:eastAsia="Times New Roman"/>
                <w:color w:val="000000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D60DA5" w:rsidRDefault="00D60DA5" w:rsidP="001D60BF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41.998</w:t>
            </w:r>
          </w:p>
        </w:tc>
        <w:tc>
          <w:tcPr>
            <w:tcW w:w="1525" w:type="dxa"/>
            <w:vAlign w:val="center"/>
          </w:tcPr>
          <w:p w:rsidR="00D60DA5" w:rsidRPr="00A15A60" w:rsidRDefault="00D60DA5" w:rsidP="001D60BF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0,56</w:t>
            </w:r>
          </w:p>
        </w:tc>
      </w:tr>
      <w:tr w:rsidR="00D60DA5" w:rsidRPr="00A15A60" w:rsidTr="001D60BF">
        <w:trPr>
          <w:trHeight w:val="283"/>
        </w:trPr>
        <w:tc>
          <w:tcPr>
            <w:cnfStyle w:val="001000000000"/>
            <w:tcW w:w="4644" w:type="dxa"/>
            <w:vAlign w:val="center"/>
          </w:tcPr>
          <w:p w:rsidR="00D60DA5" w:rsidRPr="00A15A60" w:rsidRDefault="00D60DA5" w:rsidP="001D60BF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3119" w:type="dxa"/>
            <w:vAlign w:val="center"/>
          </w:tcPr>
          <w:p w:rsidR="00D60DA5" w:rsidRPr="00A15A60" w:rsidRDefault="002B4957" w:rsidP="00167137">
            <w:pPr>
              <w:ind w:right="74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D60DA5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D60DA5">
              <w:rPr>
                <w:b/>
                <w:noProof/>
                <w:sz w:val="22"/>
              </w:rPr>
              <w:t>7.532.127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:rsidR="00D60DA5" w:rsidRPr="00A15A60" w:rsidRDefault="002B4957" w:rsidP="00B47B65">
            <w:pPr>
              <w:ind w:right="28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 w:rsidR="00D60DA5"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 w:rsidR="00D60DA5"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 w:rsidR="00D60DA5">
              <w:rPr>
                <w:b/>
                <w:sz w:val="22"/>
              </w:rPr>
              <w:t>,00</w:t>
            </w:r>
          </w:p>
        </w:tc>
      </w:tr>
    </w:tbl>
    <w:p w:rsidR="00F909C9" w:rsidRPr="00F909C9" w:rsidRDefault="00754619" w:rsidP="00F909C9">
      <w:pPr>
        <w:pStyle w:val="Uvuenotijeloteksta"/>
        <w:spacing w:line="240" w:lineRule="auto"/>
        <w:ind w:firstLine="0"/>
        <w:rPr>
          <w:sz w:val="8"/>
          <w:szCs w:val="8"/>
        </w:rPr>
      </w:pPr>
      <w:r>
        <w:rPr>
          <w:noProof/>
          <w:lang w:eastAsia="hr-HR"/>
        </w:rPr>
        <w:drawing>
          <wp:inline distT="0" distB="0" distL="0" distR="0">
            <wp:extent cx="5486400" cy="2259106"/>
            <wp:effectExtent l="19050" t="0" r="0" b="0"/>
            <wp:docPr id="8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52A77" w:rsidRPr="00F909C9" w:rsidRDefault="00F52A77" w:rsidP="00AD16F2">
      <w:pPr>
        <w:pStyle w:val="Uvuenotijeloteksta"/>
        <w:spacing w:line="240" w:lineRule="auto"/>
        <w:ind w:firstLine="0"/>
        <w:jc w:val="center"/>
        <w:rPr>
          <w:sz w:val="12"/>
          <w:szCs w:val="12"/>
        </w:rPr>
      </w:pPr>
    </w:p>
    <w:p w:rsidR="00AD16F2" w:rsidRDefault="00AD16F2" w:rsidP="00AD16F2">
      <w:pPr>
        <w:jc w:val="center"/>
        <w:rPr>
          <w:sz w:val="20"/>
          <w:szCs w:val="20"/>
        </w:rPr>
      </w:pPr>
      <w:r w:rsidRPr="00633355">
        <w:rPr>
          <w:sz w:val="20"/>
          <w:szCs w:val="20"/>
        </w:rPr>
        <w:t xml:space="preserve">Graf </w:t>
      </w:r>
      <w:r>
        <w:rPr>
          <w:sz w:val="20"/>
          <w:szCs w:val="20"/>
        </w:rPr>
        <w:t>1</w:t>
      </w:r>
      <w:r w:rsidR="00A832B5">
        <w:rPr>
          <w:sz w:val="20"/>
          <w:szCs w:val="20"/>
        </w:rPr>
        <w:t>4</w:t>
      </w:r>
      <w:r w:rsidRPr="00633355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Struktura izvršenih tekućih </w:t>
      </w:r>
      <w:proofErr w:type="spellStart"/>
      <w:r>
        <w:rPr>
          <w:sz w:val="20"/>
          <w:szCs w:val="20"/>
        </w:rPr>
        <w:t>grantova</w:t>
      </w:r>
      <w:proofErr w:type="spellEnd"/>
      <w:r w:rsidR="008F749D">
        <w:rPr>
          <w:sz w:val="20"/>
          <w:szCs w:val="20"/>
        </w:rPr>
        <w:t xml:space="preserve"> </w:t>
      </w:r>
      <w:r w:rsidRPr="00633355">
        <w:rPr>
          <w:sz w:val="20"/>
          <w:szCs w:val="20"/>
        </w:rPr>
        <w:t xml:space="preserve">Proračuna </w:t>
      </w:r>
      <w:proofErr w:type="spellStart"/>
      <w:r w:rsidRPr="00633355">
        <w:rPr>
          <w:sz w:val="20"/>
          <w:szCs w:val="20"/>
        </w:rPr>
        <w:t>Žup</w:t>
      </w:r>
      <w:r>
        <w:rPr>
          <w:sz w:val="20"/>
          <w:szCs w:val="20"/>
        </w:rPr>
        <w:t>.</w:t>
      </w:r>
      <w:r w:rsidRPr="00633355">
        <w:rPr>
          <w:sz w:val="20"/>
          <w:szCs w:val="20"/>
        </w:rPr>
        <w:t>Posavske</w:t>
      </w:r>
      <w:proofErr w:type="spellEnd"/>
      <w:r w:rsidRPr="00633355">
        <w:rPr>
          <w:sz w:val="20"/>
          <w:szCs w:val="20"/>
        </w:rPr>
        <w:t xml:space="preserve"> u razdoblju 01.01.-</w:t>
      </w:r>
      <w:r w:rsidR="00680D1C">
        <w:rPr>
          <w:sz w:val="20"/>
          <w:szCs w:val="20"/>
        </w:rPr>
        <w:t>30</w:t>
      </w:r>
      <w:r w:rsidRPr="00633355">
        <w:rPr>
          <w:sz w:val="20"/>
          <w:szCs w:val="20"/>
        </w:rPr>
        <w:t>.0</w:t>
      </w:r>
      <w:r w:rsidR="00D60DA5">
        <w:rPr>
          <w:sz w:val="20"/>
          <w:szCs w:val="20"/>
        </w:rPr>
        <w:t>9</w:t>
      </w:r>
      <w:r w:rsidRPr="00633355">
        <w:rPr>
          <w:sz w:val="20"/>
          <w:szCs w:val="20"/>
        </w:rPr>
        <w:t>.20</w:t>
      </w:r>
      <w:r w:rsidR="00635B2E">
        <w:rPr>
          <w:sz w:val="20"/>
          <w:szCs w:val="20"/>
        </w:rPr>
        <w:t>20</w:t>
      </w:r>
      <w:r w:rsidRPr="00633355">
        <w:rPr>
          <w:sz w:val="20"/>
          <w:szCs w:val="20"/>
        </w:rPr>
        <w:t>. godine</w:t>
      </w:r>
    </w:p>
    <w:p w:rsidR="00AD16F2" w:rsidRDefault="00AD16F2" w:rsidP="00AD16F2">
      <w:pPr>
        <w:pStyle w:val="Uvuenotijeloteksta"/>
        <w:spacing w:line="240" w:lineRule="auto"/>
        <w:ind w:firstLine="0"/>
      </w:pPr>
    </w:p>
    <w:p w:rsidR="00BA3100" w:rsidRDefault="00717EE8" w:rsidP="00D60DA5">
      <w:pPr>
        <w:pStyle w:val="Tijeloteksta"/>
        <w:spacing w:after="0"/>
        <w:jc w:val="both"/>
        <w:rPr>
          <w:color w:val="000000"/>
          <w:lang w:eastAsia="hr-HR"/>
        </w:rPr>
      </w:pPr>
      <w:r>
        <w:t xml:space="preserve">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potrošnja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grantove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 w:rsidR="00635B2E">
        <w:t>veća</w:t>
      </w:r>
      <w:proofErr w:type="spellEnd"/>
      <w:r>
        <w:t xml:space="preserve"> je </w:t>
      </w:r>
      <w:proofErr w:type="spellStart"/>
      <w:r>
        <w:t>za</w:t>
      </w:r>
      <w:proofErr w:type="spellEnd"/>
      <w:r>
        <w:t xml:space="preserve"> </w:t>
      </w:r>
      <w:r w:rsidR="00D60DA5">
        <w:t>1.337.136</w:t>
      </w:r>
      <w:r>
        <w:t xml:space="preserve"> KM, </w:t>
      </w:r>
      <w:proofErr w:type="spellStart"/>
      <w:r>
        <w:t>odnosno</w:t>
      </w:r>
      <w:proofErr w:type="spellEnd"/>
      <w:r>
        <w:t xml:space="preserve"> </w:t>
      </w:r>
      <w:proofErr w:type="spellStart"/>
      <w:r w:rsidR="00635B2E">
        <w:t>veća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 w:rsidR="00D60DA5">
        <w:t>21</w:t>
      </w:r>
      <w:proofErr w:type="gramStart"/>
      <w:r w:rsidR="00D60DA5">
        <w:t>,58</w:t>
      </w:r>
      <w:proofErr w:type="gramEnd"/>
      <w:r>
        <w:t xml:space="preserve">%. </w:t>
      </w:r>
      <w:proofErr w:type="spellStart"/>
      <w:r w:rsidR="0065219D" w:rsidRPr="00102063">
        <w:t>Potrošnja</w:t>
      </w:r>
      <w:proofErr w:type="spellEnd"/>
      <w:r w:rsidR="0065219D" w:rsidRPr="00102063">
        <w:t xml:space="preserve"> se, </w:t>
      </w:r>
      <w:proofErr w:type="spellStart"/>
      <w:r w:rsidR="0065219D" w:rsidRPr="00102063">
        <w:t>uslijed</w:t>
      </w:r>
      <w:proofErr w:type="spellEnd"/>
      <w:r w:rsidR="0065219D" w:rsidRPr="00102063">
        <w:t xml:space="preserve"> </w:t>
      </w:r>
      <w:proofErr w:type="spellStart"/>
      <w:r w:rsidR="0065219D" w:rsidRPr="00102063">
        <w:t>proširenja</w:t>
      </w:r>
      <w:proofErr w:type="spellEnd"/>
      <w:r w:rsidR="0065219D" w:rsidRPr="00102063">
        <w:t xml:space="preserve"> </w:t>
      </w:r>
      <w:proofErr w:type="spellStart"/>
      <w:r w:rsidR="0065219D" w:rsidRPr="00102063">
        <w:t>opsega</w:t>
      </w:r>
      <w:proofErr w:type="spellEnd"/>
      <w:r w:rsidR="0065219D" w:rsidRPr="00102063">
        <w:t xml:space="preserve"> </w:t>
      </w:r>
      <w:proofErr w:type="spellStart"/>
      <w:r w:rsidR="0065219D" w:rsidRPr="00102063">
        <w:t>davanja</w:t>
      </w:r>
      <w:proofErr w:type="spellEnd"/>
      <w:r w:rsidR="0065219D" w:rsidRPr="00102063">
        <w:t xml:space="preserve"> </w:t>
      </w:r>
      <w:proofErr w:type="spellStart"/>
      <w:r w:rsidR="0065219D" w:rsidRPr="00102063">
        <w:t>i</w:t>
      </w:r>
      <w:proofErr w:type="spellEnd"/>
      <w:r w:rsidR="0065219D" w:rsidRPr="00102063">
        <w:t>/</w:t>
      </w:r>
      <w:proofErr w:type="spellStart"/>
      <w:r w:rsidR="0065219D" w:rsidRPr="00102063">
        <w:t>ili</w:t>
      </w:r>
      <w:proofErr w:type="spellEnd"/>
      <w:r w:rsidR="0065219D" w:rsidRPr="00102063">
        <w:t xml:space="preserve"> </w:t>
      </w:r>
      <w:proofErr w:type="spellStart"/>
      <w:r w:rsidR="0065219D" w:rsidRPr="00102063">
        <w:t>povećanih</w:t>
      </w:r>
      <w:proofErr w:type="spellEnd"/>
      <w:r w:rsidR="0065219D" w:rsidRPr="00102063">
        <w:t xml:space="preserve"> </w:t>
      </w:r>
      <w:proofErr w:type="spellStart"/>
      <w:r w:rsidR="0065219D" w:rsidRPr="00102063">
        <w:t>potreba</w:t>
      </w:r>
      <w:proofErr w:type="spellEnd"/>
      <w:r w:rsidR="0065219D">
        <w:t xml:space="preserve"> </w:t>
      </w:r>
      <w:proofErr w:type="spellStart"/>
      <w:r w:rsidR="0065219D">
        <w:t>koje</w:t>
      </w:r>
      <w:proofErr w:type="spellEnd"/>
      <w:r w:rsidR="0065219D">
        <w:t xml:space="preserve"> se </w:t>
      </w:r>
      <w:proofErr w:type="spellStart"/>
      <w:r w:rsidR="0065219D">
        <w:t>najvećim</w:t>
      </w:r>
      <w:proofErr w:type="spellEnd"/>
      <w:r w:rsidR="0065219D">
        <w:t xml:space="preserve"> </w:t>
      </w:r>
      <w:proofErr w:type="spellStart"/>
      <w:r w:rsidR="0065219D">
        <w:t>dijelom</w:t>
      </w:r>
      <w:proofErr w:type="spellEnd"/>
      <w:r w:rsidR="0065219D">
        <w:t xml:space="preserve"> </w:t>
      </w:r>
      <w:proofErr w:type="spellStart"/>
      <w:r w:rsidR="0065219D">
        <w:t>odnose</w:t>
      </w:r>
      <w:proofErr w:type="spellEnd"/>
      <w:r w:rsidR="0065219D">
        <w:t xml:space="preserve"> </w:t>
      </w:r>
      <w:proofErr w:type="spellStart"/>
      <w:r w:rsidR="0065219D">
        <w:t>na</w:t>
      </w:r>
      <w:proofErr w:type="spellEnd"/>
      <w:r w:rsidR="0065219D">
        <w:t xml:space="preserve"> </w:t>
      </w:r>
      <w:proofErr w:type="spellStart"/>
      <w:r w:rsidR="0065219D">
        <w:t>ublažavanje</w:t>
      </w:r>
      <w:proofErr w:type="spellEnd"/>
      <w:r w:rsidR="0065219D">
        <w:t xml:space="preserve"> </w:t>
      </w:r>
      <w:proofErr w:type="spellStart"/>
      <w:r w:rsidR="0065219D">
        <w:t>negativnih</w:t>
      </w:r>
      <w:proofErr w:type="spellEnd"/>
      <w:r w:rsidR="0065219D">
        <w:t xml:space="preserve"> </w:t>
      </w:r>
      <w:proofErr w:type="spellStart"/>
      <w:r w:rsidR="0065219D">
        <w:t>ekonomskih</w:t>
      </w:r>
      <w:proofErr w:type="spellEnd"/>
      <w:r w:rsidR="0065219D">
        <w:t xml:space="preserve"> </w:t>
      </w:r>
      <w:proofErr w:type="spellStart"/>
      <w:r w:rsidR="0065219D">
        <w:t>posljedica</w:t>
      </w:r>
      <w:proofErr w:type="spellEnd"/>
      <w:r w:rsidR="0065219D">
        <w:t xml:space="preserve"> </w:t>
      </w:r>
      <w:proofErr w:type="spellStart"/>
      <w:r w:rsidR="0065219D">
        <w:t>i</w:t>
      </w:r>
      <w:proofErr w:type="spellEnd"/>
      <w:r w:rsidR="0065219D">
        <w:t xml:space="preserve"> </w:t>
      </w:r>
      <w:proofErr w:type="spellStart"/>
      <w:r w:rsidR="0065219D">
        <w:t>potporu</w:t>
      </w:r>
      <w:proofErr w:type="spellEnd"/>
      <w:r w:rsidR="0065219D">
        <w:t xml:space="preserve"> </w:t>
      </w:r>
      <w:proofErr w:type="spellStart"/>
      <w:r w:rsidR="0065219D">
        <w:t>zdravstvenim</w:t>
      </w:r>
      <w:proofErr w:type="spellEnd"/>
      <w:r w:rsidR="0065219D">
        <w:t xml:space="preserve"> </w:t>
      </w:r>
      <w:proofErr w:type="spellStart"/>
      <w:r w:rsidR="0065219D">
        <w:t>institucijama</w:t>
      </w:r>
      <w:proofErr w:type="spellEnd"/>
      <w:r w:rsidR="0065219D">
        <w:t xml:space="preserve"> u </w:t>
      </w:r>
      <w:proofErr w:type="spellStart"/>
      <w:r w:rsidR="0065219D">
        <w:t>uvjetima</w:t>
      </w:r>
      <w:proofErr w:type="spellEnd"/>
      <w:r w:rsidR="0065219D">
        <w:t xml:space="preserve"> </w:t>
      </w:r>
      <w:proofErr w:type="spellStart"/>
      <w:r w:rsidR="0065219D">
        <w:t>pandemije</w:t>
      </w:r>
      <w:proofErr w:type="spellEnd"/>
      <w:r w:rsidR="0065219D">
        <w:t xml:space="preserve"> COVID-19</w:t>
      </w:r>
      <w:r w:rsidR="0065219D" w:rsidRPr="00102063">
        <w:t>,</w:t>
      </w:r>
      <w:r w:rsidR="0065219D">
        <w:t xml:space="preserve"> </w:t>
      </w:r>
      <w:proofErr w:type="spellStart"/>
      <w:r w:rsidR="0065219D">
        <w:t>najznačajnije</w:t>
      </w:r>
      <w:proofErr w:type="spellEnd"/>
      <w:r w:rsidR="0065219D">
        <w:t xml:space="preserve"> </w:t>
      </w:r>
      <w:proofErr w:type="spellStart"/>
      <w:r w:rsidR="0065219D">
        <w:t>povećal</w:t>
      </w:r>
      <w:r w:rsidR="0065219D" w:rsidRPr="00102063">
        <w:t>a</w:t>
      </w:r>
      <w:proofErr w:type="spellEnd"/>
      <w:r w:rsidR="0065219D" w:rsidRPr="00102063">
        <w:t xml:space="preserve"> </w:t>
      </w:r>
      <w:proofErr w:type="spellStart"/>
      <w:r w:rsidR="0065219D">
        <w:t>na</w:t>
      </w:r>
      <w:proofErr w:type="spellEnd"/>
      <w:r w:rsidR="0065219D">
        <w:t xml:space="preserve"> </w:t>
      </w:r>
      <w:proofErr w:type="spellStart"/>
      <w:r w:rsidR="0065219D">
        <w:t>pozicijama</w:t>
      </w:r>
      <w:proofErr w:type="spellEnd"/>
      <w:r w:rsidR="0065219D">
        <w:t xml:space="preserve">: Transfer </w:t>
      </w:r>
      <w:proofErr w:type="spellStart"/>
      <w:r w:rsidR="0065219D">
        <w:t>za</w:t>
      </w:r>
      <w:proofErr w:type="spellEnd"/>
      <w:r w:rsidR="0065219D">
        <w:t xml:space="preserve"> </w:t>
      </w:r>
      <w:proofErr w:type="spellStart"/>
      <w:r w:rsidR="0065219D">
        <w:t>zdravstvene</w:t>
      </w:r>
      <w:proofErr w:type="spellEnd"/>
      <w:r w:rsidR="0065219D">
        <w:t xml:space="preserve"> </w:t>
      </w:r>
      <w:proofErr w:type="spellStart"/>
      <w:r w:rsidR="0065219D">
        <w:t>institucije</w:t>
      </w:r>
      <w:proofErr w:type="spellEnd"/>
      <w:r w:rsidR="0065219D">
        <w:t xml:space="preserve"> </w:t>
      </w:r>
      <w:proofErr w:type="spellStart"/>
      <w:r w:rsidR="0065219D">
        <w:t>i</w:t>
      </w:r>
      <w:proofErr w:type="spellEnd"/>
      <w:r w:rsidR="0065219D">
        <w:t xml:space="preserve"> centre </w:t>
      </w:r>
      <w:proofErr w:type="spellStart"/>
      <w:r w:rsidR="0065219D">
        <w:t>za</w:t>
      </w:r>
      <w:proofErr w:type="spellEnd"/>
      <w:r w:rsidR="0065219D">
        <w:t xml:space="preserve"> </w:t>
      </w:r>
      <w:proofErr w:type="spellStart"/>
      <w:r w:rsidR="0065219D">
        <w:t>socijalni</w:t>
      </w:r>
      <w:proofErr w:type="spellEnd"/>
      <w:r w:rsidR="0065219D">
        <w:t xml:space="preserve"> </w:t>
      </w:r>
      <w:proofErr w:type="spellStart"/>
      <w:r w:rsidR="0065219D">
        <w:t>rad</w:t>
      </w:r>
      <w:proofErr w:type="spellEnd"/>
      <w:r w:rsidR="0065219D">
        <w:t xml:space="preserve"> </w:t>
      </w:r>
      <w:proofErr w:type="spellStart"/>
      <w:r w:rsidR="0065219D">
        <w:t>pri</w:t>
      </w:r>
      <w:proofErr w:type="spellEnd"/>
      <w:r w:rsidR="0065219D">
        <w:t xml:space="preserve"> </w:t>
      </w:r>
      <w:proofErr w:type="spellStart"/>
      <w:r w:rsidR="0065219D">
        <w:t>Ministarstvu</w:t>
      </w:r>
      <w:proofErr w:type="spellEnd"/>
      <w:r w:rsidR="0065219D">
        <w:t xml:space="preserve"> </w:t>
      </w:r>
      <w:proofErr w:type="spellStart"/>
      <w:r w:rsidR="00D60DA5">
        <w:t>zdravstva</w:t>
      </w:r>
      <w:proofErr w:type="spellEnd"/>
      <w:r w:rsidR="00D60DA5">
        <w:t xml:space="preserve"> </w:t>
      </w:r>
      <w:proofErr w:type="spellStart"/>
      <w:r w:rsidR="00D60DA5">
        <w:t>i</w:t>
      </w:r>
      <w:proofErr w:type="spellEnd"/>
      <w:r w:rsidR="00D60DA5">
        <w:t xml:space="preserve"> </w:t>
      </w:r>
      <w:proofErr w:type="spellStart"/>
      <w:r w:rsidR="00D60DA5">
        <w:t>socijalne</w:t>
      </w:r>
      <w:proofErr w:type="spellEnd"/>
      <w:r w:rsidR="00D60DA5">
        <w:t xml:space="preserve"> </w:t>
      </w:r>
      <w:proofErr w:type="spellStart"/>
      <w:r w:rsidR="00D60DA5">
        <w:t>politike</w:t>
      </w:r>
      <w:proofErr w:type="spellEnd"/>
      <w:r w:rsidR="0065219D">
        <w:t xml:space="preserve">, </w:t>
      </w:r>
      <w:proofErr w:type="spellStart"/>
      <w:r w:rsidR="0065219D">
        <w:t>te</w:t>
      </w:r>
      <w:proofErr w:type="spellEnd"/>
      <w:r w:rsidR="0065219D">
        <w:t xml:space="preserve"> Grant </w:t>
      </w:r>
      <w:proofErr w:type="spellStart"/>
      <w:r w:rsidR="0065219D">
        <w:t>za</w:t>
      </w:r>
      <w:proofErr w:type="spellEnd"/>
      <w:r w:rsidR="0065219D">
        <w:t xml:space="preserve"> </w:t>
      </w:r>
      <w:proofErr w:type="spellStart"/>
      <w:r w:rsidR="0065219D">
        <w:t>razvoj</w:t>
      </w:r>
      <w:proofErr w:type="spellEnd"/>
      <w:r w:rsidR="0065219D">
        <w:t xml:space="preserve"> </w:t>
      </w:r>
      <w:proofErr w:type="spellStart"/>
      <w:r w:rsidR="0065219D">
        <w:t>poduzetništva</w:t>
      </w:r>
      <w:proofErr w:type="spellEnd"/>
      <w:r w:rsidR="0065219D">
        <w:t xml:space="preserve">, </w:t>
      </w:r>
      <w:proofErr w:type="spellStart"/>
      <w:r w:rsidR="0065219D">
        <w:t>obrta</w:t>
      </w:r>
      <w:proofErr w:type="spellEnd"/>
      <w:r w:rsidR="0065219D">
        <w:t xml:space="preserve"> </w:t>
      </w:r>
      <w:proofErr w:type="spellStart"/>
      <w:r w:rsidR="0065219D">
        <w:t>i</w:t>
      </w:r>
      <w:proofErr w:type="spellEnd"/>
      <w:r w:rsidR="0065219D">
        <w:t xml:space="preserve"> </w:t>
      </w:r>
      <w:proofErr w:type="spellStart"/>
      <w:r w:rsidR="0065219D">
        <w:t>zadruga</w:t>
      </w:r>
      <w:proofErr w:type="spellEnd"/>
      <w:r w:rsidR="0065219D">
        <w:t xml:space="preserve"> </w:t>
      </w:r>
      <w:proofErr w:type="spellStart"/>
      <w:r w:rsidR="0065219D">
        <w:t>pri</w:t>
      </w:r>
      <w:proofErr w:type="spellEnd"/>
      <w:r w:rsidR="0065219D">
        <w:t xml:space="preserve"> </w:t>
      </w:r>
      <w:proofErr w:type="spellStart"/>
      <w:r w:rsidR="0065219D">
        <w:t>Ministarstvu</w:t>
      </w:r>
      <w:proofErr w:type="spellEnd"/>
      <w:r w:rsidR="0065219D">
        <w:t xml:space="preserve"> </w:t>
      </w:r>
      <w:proofErr w:type="spellStart"/>
      <w:r w:rsidR="0065219D">
        <w:t>gospodarstva</w:t>
      </w:r>
      <w:proofErr w:type="spellEnd"/>
      <w:r w:rsidR="0065219D">
        <w:t xml:space="preserve">, </w:t>
      </w:r>
      <w:proofErr w:type="spellStart"/>
      <w:r w:rsidR="0065219D">
        <w:t>rada</w:t>
      </w:r>
      <w:proofErr w:type="spellEnd"/>
      <w:r w:rsidR="0065219D">
        <w:t xml:space="preserve"> </w:t>
      </w:r>
      <w:proofErr w:type="spellStart"/>
      <w:r w:rsidR="0065219D">
        <w:t>i</w:t>
      </w:r>
      <w:proofErr w:type="spellEnd"/>
      <w:r w:rsidR="0065219D">
        <w:t xml:space="preserve"> </w:t>
      </w:r>
      <w:proofErr w:type="spellStart"/>
      <w:r w:rsidR="0065219D">
        <w:t>prostornog</w:t>
      </w:r>
      <w:proofErr w:type="spellEnd"/>
      <w:r w:rsidR="0065219D">
        <w:t xml:space="preserve"> </w:t>
      </w:r>
      <w:proofErr w:type="spellStart"/>
      <w:r w:rsidR="0065219D">
        <w:t>uređenja</w:t>
      </w:r>
      <w:proofErr w:type="spellEnd"/>
      <w:r w:rsidR="0065219D">
        <w:t xml:space="preserve">. </w:t>
      </w:r>
      <w:proofErr w:type="spellStart"/>
      <w:proofErr w:type="gramStart"/>
      <w:r w:rsidR="0065219D">
        <w:t>Pri</w:t>
      </w:r>
      <w:proofErr w:type="spellEnd"/>
      <w:r w:rsidR="0065219D">
        <w:t xml:space="preserve"> </w:t>
      </w:r>
      <w:proofErr w:type="spellStart"/>
      <w:r w:rsidR="0065219D">
        <w:t>potrošnji</w:t>
      </w:r>
      <w:proofErr w:type="spellEnd"/>
      <w:r w:rsidR="0065219D">
        <w:t xml:space="preserve"> </w:t>
      </w:r>
      <w:proofErr w:type="spellStart"/>
      <w:r w:rsidR="0065219D">
        <w:t>tekućih</w:t>
      </w:r>
      <w:proofErr w:type="spellEnd"/>
      <w:r w:rsidR="0065219D">
        <w:t xml:space="preserve"> </w:t>
      </w:r>
      <w:proofErr w:type="spellStart"/>
      <w:r w:rsidR="0065219D">
        <w:t>grantova</w:t>
      </w:r>
      <w:proofErr w:type="spellEnd"/>
      <w:r w:rsidR="0065219D">
        <w:t xml:space="preserve"> u </w:t>
      </w:r>
      <w:proofErr w:type="spellStart"/>
      <w:r w:rsidR="0065219D">
        <w:t>izvještajnom</w:t>
      </w:r>
      <w:proofErr w:type="spellEnd"/>
      <w:r w:rsidR="0065219D">
        <w:t xml:space="preserve"> </w:t>
      </w:r>
      <w:proofErr w:type="spellStart"/>
      <w:r w:rsidR="0065219D">
        <w:t>razdoblju</w:t>
      </w:r>
      <w:proofErr w:type="spellEnd"/>
      <w:r w:rsidR="0065219D">
        <w:t xml:space="preserve"> </w:t>
      </w:r>
      <w:proofErr w:type="spellStart"/>
      <w:r w:rsidR="0065219D">
        <w:t>korištena</w:t>
      </w:r>
      <w:proofErr w:type="spellEnd"/>
      <w:r w:rsidR="0065219D">
        <w:t xml:space="preserve"> je </w:t>
      </w:r>
      <w:proofErr w:type="spellStart"/>
      <w:r w:rsidR="0065219D">
        <w:t>odredba</w:t>
      </w:r>
      <w:proofErr w:type="spellEnd"/>
      <w:r w:rsidR="0065219D">
        <w:t xml:space="preserve"> </w:t>
      </w:r>
      <w:proofErr w:type="spellStart"/>
      <w:r w:rsidR="0065219D">
        <w:t>članka</w:t>
      </w:r>
      <w:proofErr w:type="spellEnd"/>
      <w:r w:rsidR="0065219D">
        <w:t xml:space="preserve"> 12.</w:t>
      </w:r>
      <w:proofErr w:type="gramEnd"/>
      <w:r w:rsidR="0065219D">
        <w:t xml:space="preserve"> </w:t>
      </w:r>
      <w:proofErr w:type="spellStart"/>
      <w:r w:rsidR="0065219D">
        <w:t>Zakona</w:t>
      </w:r>
      <w:proofErr w:type="spellEnd"/>
      <w:r w:rsidR="0065219D">
        <w:t xml:space="preserve"> o </w:t>
      </w:r>
      <w:proofErr w:type="spellStart"/>
      <w:r w:rsidR="0065219D">
        <w:t>ublažavanju</w:t>
      </w:r>
      <w:proofErr w:type="spellEnd"/>
      <w:r w:rsidR="0065219D">
        <w:t xml:space="preserve"> </w:t>
      </w:r>
      <w:proofErr w:type="spellStart"/>
      <w:r w:rsidR="0065219D">
        <w:t>negativnih</w:t>
      </w:r>
      <w:proofErr w:type="spellEnd"/>
      <w:r w:rsidR="0065219D">
        <w:t xml:space="preserve"> </w:t>
      </w:r>
      <w:proofErr w:type="spellStart"/>
      <w:r w:rsidR="0065219D">
        <w:t>ekonomskih</w:t>
      </w:r>
      <w:proofErr w:type="spellEnd"/>
      <w:r w:rsidR="0065219D">
        <w:t xml:space="preserve"> </w:t>
      </w:r>
      <w:proofErr w:type="spellStart"/>
      <w:r w:rsidR="0065219D">
        <w:t>posljedica</w:t>
      </w:r>
      <w:proofErr w:type="spellEnd"/>
      <w:r w:rsidR="0065219D">
        <w:t xml:space="preserve"> („</w:t>
      </w:r>
      <w:proofErr w:type="spellStart"/>
      <w:r w:rsidR="0065219D">
        <w:t>Službene</w:t>
      </w:r>
      <w:proofErr w:type="spellEnd"/>
      <w:r w:rsidR="0065219D">
        <w:t xml:space="preserve"> </w:t>
      </w:r>
      <w:proofErr w:type="spellStart"/>
      <w:r w:rsidR="0065219D">
        <w:t>novine</w:t>
      </w:r>
      <w:proofErr w:type="spellEnd"/>
      <w:r w:rsidR="0065219D">
        <w:t xml:space="preserve"> </w:t>
      </w:r>
      <w:proofErr w:type="spellStart"/>
      <w:r w:rsidR="0065219D">
        <w:t>Federacije</w:t>
      </w:r>
      <w:proofErr w:type="spellEnd"/>
      <w:r w:rsidR="0065219D">
        <w:t xml:space="preserve"> </w:t>
      </w:r>
      <w:proofErr w:type="spellStart"/>
      <w:r w:rsidR="0065219D">
        <w:t>BiH</w:t>
      </w:r>
      <w:proofErr w:type="spellEnd"/>
      <w:r w:rsidR="0065219D">
        <w:t xml:space="preserve">“, </w:t>
      </w:r>
      <w:proofErr w:type="spellStart"/>
      <w:r w:rsidR="0065219D">
        <w:t>broj</w:t>
      </w:r>
      <w:proofErr w:type="spellEnd"/>
      <w:r w:rsidR="0065219D">
        <w:t xml:space="preserve">: 28/20), pa je </w:t>
      </w:r>
      <w:r w:rsidR="00D60DA5">
        <w:t>549.390</w:t>
      </w:r>
      <w:r w:rsidR="0065219D">
        <w:t xml:space="preserve"> KM </w:t>
      </w:r>
      <w:proofErr w:type="spellStart"/>
      <w:r w:rsidR="0065219D">
        <w:t>namjenskih</w:t>
      </w:r>
      <w:proofErr w:type="spellEnd"/>
      <w:r w:rsidR="0065219D">
        <w:t xml:space="preserve"> </w:t>
      </w:r>
      <w:proofErr w:type="spellStart"/>
      <w:r w:rsidR="0065219D">
        <w:t>prihoda</w:t>
      </w:r>
      <w:proofErr w:type="spellEnd"/>
      <w:r w:rsidR="0065219D">
        <w:t xml:space="preserve"> </w:t>
      </w:r>
      <w:proofErr w:type="spellStart"/>
      <w:r w:rsidR="0065219D">
        <w:t>od</w:t>
      </w:r>
      <w:proofErr w:type="spellEnd"/>
      <w:r w:rsidR="0065219D">
        <w:t xml:space="preserve"> </w:t>
      </w:r>
      <w:proofErr w:type="spellStart"/>
      <w:r w:rsidR="0065219D">
        <w:t>neizravnih</w:t>
      </w:r>
      <w:proofErr w:type="spellEnd"/>
      <w:r w:rsidR="0065219D">
        <w:t xml:space="preserve"> </w:t>
      </w:r>
      <w:proofErr w:type="spellStart"/>
      <w:r w:rsidR="0065219D">
        <w:t>poreza</w:t>
      </w:r>
      <w:proofErr w:type="spellEnd"/>
      <w:r w:rsidR="0065219D">
        <w:t xml:space="preserve"> </w:t>
      </w:r>
      <w:proofErr w:type="spellStart"/>
      <w:r w:rsidR="0065219D">
        <w:t>na</w:t>
      </w:r>
      <w:proofErr w:type="spellEnd"/>
      <w:r w:rsidR="0065219D">
        <w:t xml:space="preserve"> </w:t>
      </w:r>
      <w:proofErr w:type="spellStart"/>
      <w:r w:rsidR="0065219D">
        <w:t>ime</w:t>
      </w:r>
      <w:proofErr w:type="spellEnd"/>
      <w:r w:rsidR="0065219D">
        <w:t xml:space="preserve"> </w:t>
      </w:r>
      <w:proofErr w:type="spellStart"/>
      <w:r w:rsidR="0065219D">
        <w:t>financiranja</w:t>
      </w:r>
      <w:proofErr w:type="spellEnd"/>
      <w:r w:rsidR="0065219D">
        <w:t xml:space="preserve"> </w:t>
      </w:r>
      <w:proofErr w:type="spellStart"/>
      <w:r w:rsidR="0065219D">
        <w:t>autocesta</w:t>
      </w:r>
      <w:proofErr w:type="spellEnd"/>
      <w:r w:rsidR="0065219D">
        <w:t xml:space="preserve"> u </w:t>
      </w:r>
      <w:proofErr w:type="spellStart"/>
      <w:r w:rsidR="0065219D">
        <w:t>FBiH</w:t>
      </w:r>
      <w:proofErr w:type="spellEnd"/>
      <w:r w:rsidR="0065219D">
        <w:t xml:space="preserve"> </w:t>
      </w:r>
      <w:r w:rsidR="00D60DA5">
        <w:t xml:space="preserve">, </w:t>
      </w:r>
      <w:proofErr w:type="spellStart"/>
      <w:r w:rsidR="00D60DA5">
        <w:t>kao</w:t>
      </w:r>
      <w:proofErr w:type="spellEnd"/>
      <w:r w:rsidR="00D60DA5">
        <w:t xml:space="preserve"> </w:t>
      </w:r>
      <w:proofErr w:type="spellStart"/>
      <w:r w:rsidR="00D60DA5">
        <w:t>i</w:t>
      </w:r>
      <w:proofErr w:type="spellEnd"/>
      <w:r w:rsidR="00D60DA5">
        <w:t xml:space="preserve"> 355.433 KM </w:t>
      </w:r>
      <w:proofErr w:type="spellStart"/>
      <w:r w:rsidR="00D60DA5">
        <w:t>namjenskih</w:t>
      </w:r>
      <w:proofErr w:type="spellEnd"/>
      <w:r w:rsidR="00D60DA5">
        <w:t xml:space="preserve"> </w:t>
      </w:r>
      <w:proofErr w:type="spellStart"/>
      <w:r w:rsidR="00D60DA5">
        <w:t>prihoda</w:t>
      </w:r>
      <w:proofErr w:type="spellEnd"/>
      <w:r w:rsidR="00D60DA5">
        <w:t xml:space="preserve"> </w:t>
      </w:r>
      <w:proofErr w:type="spellStart"/>
      <w:r w:rsidR="00D60DA5">
        <w:t>od</w:t>
      </w:r>
      <w:proofErr w:type="spellEnd"/>
      <w:r w:rsidR="00D60DA5">
        <w:t xml:space="preserve"> </w:t>
      </w:r>
      <w:proofErr w:type="spellStart"/>
      <w:r w:rsidR="00D60DA5">
        <w:t>neizravnih</w:t>
      </w:r>
      <w:proofErr w:type="spellEnd"/>
      <w:r w:rsidR="00D60DA5">
        <w:t xml:space="preserve"> </w:t>
      </w:r>
      <w:proofErr w:type="spellStart"/>
      <w:r w:rsidR="00D60DA5">
        <w:t>poreza</w:t>
      </w:r>
      <w:proofErr w:type="spellEnd"/>
      <w:r w:rsidR="00D60DA5">
        <w:t xml:space="preserve"> </w:t>
      </w:r>
      <w:proofErr w:type="spellStart"/>
      <w:r w:rsidR="00D60DA5">
        <w:t>koji</w:t>
      </w:r>
      <w:proofErr w:type="spellEnd"/>
      <w:r w:rsidR="00D60DA5">
        <w:t xml:space="preserve"> </w:t>
      </w:r>
      <w:proofErr w:type="spellStart"/>
      <w:r w:rsidR="00D60DA5">
        <w:t>pripadaju</w:t>
      </w:r>
      <w:proofErr w:type="spellEnd"/>
      <w:r w:rsidR="00D60DA5">
        <w:t xml:space="preserve"> </w:t>
      </w:r>
      <w:proofErr w:type="spellStart"/>
      <w:r w:rsidR="00D60DA5">
        <w:t>Direkciji</w:t>
      </w:r>
      <w:proofErr w:type="spellEnd"/>
      <w:r w:rsidR="00D60DA5">
        <w:t xml:space="preserve"> </w:t>
      </w:r>
      <w:proofErr w:type="spellStart"/>
      <w:r w:rsidR="00D60DA5">
        <w:t>cesta</w:t>
      </w:r>
      <w:proofErr w:type="spellEnd"/>
      <w:r w:rsidR="00D60DA5">
        <w:t xml:space="preserve"> </w:t>
      </w:r>
      <w:proofErr w:type="spellStart"/>
      <w:r w:rsidR="0065219D">
        <w:t>oprihodovano</w:t>
      </w:r>
      <w:proofErr w:type="spellEnd"/>
      <w:r w:rsidR="0065219D">
        <w:t xml:space="preserve"> s </w:t>
      </w:r>
      <w:proofErr w:type="spellStart"/>
      <w:r w:rsidR="0065219D">
        <w:t>razgraničenja</w:t>
      </w:r>
      <w:proofErr w:type="spellEnd"/>
      <w:r w:rsidR="0065219D">
        <w:t xml:space="preserve"> </w:t>
      </w:r>
      <w:proofErr w:type="spellStart"/>
      <w:r w:rsidR="0065219D">
        <w:t>i</w:t>
      </w:r>
      <w:proofErr w:type="spellEnd"/>
      <w:r w:rsidR="0065219D">
        <w:t xml:space="preserve"> </w:t>
      </w:r>
      <w:proofErr w:type="spellStart"/>
      <w:r w:rsidR="0065219D">
        <w:t>potrošeno</w:t>
      </w:r>
      <w:proofErr w:type="spellEnd"/>
      <w:r w:rsidR="0065219D">
        <w:t xml:space="preserve"> u </w:t>
      </w:r>
      <w:proofErr w:type="spellStart"/>
      <w:r w:rsidR="0065219D">
        <w:t>okviru</w:t>
      </w:r>
      <w:proofErr w:type="spellEnd"/>
      <w:r w:rsidR="0065219D">
        <w:t xml:space="preserve">  </w:t>
      </w:r>
      <w:proofErr w:type="spellStart"/>
      <w:r w:rsidR="00D60DA5">
        <w:t>Transfera</w:t>
      </w:r>
      <w:proofErr w:type="spellEnd"/>
      <w:r w:rsidR="00D60DA5">
        <w:t xml:space="preserve"> </w:t>
      </w:r>
      <w:proofErr w:type="spellStart"/>
      <w:r w:rsidR="00D60DA5">
        <w:t>za</w:t>
      </w:r>
      <w:proofErr w:type="spellEnd"/>
      <w:r w:rsidR="00D60DA5">
        <w:t xml:space="preserve"> </w:t>
      </w:r>
      <w:proofErr w:type="spellStart"/>
      <w:r w:rsidR="00D60DA5">
        <w:t>zdravstvene</w:t>
      </w:r>
      <w:proofErr w:type="spellEnd"/>
      <w:r w:rsidR="00D60DA5">
        <w:t xml:space="preserve"> </w:t>
      </w:r>
      <w:proofErr w:type="spellStart"/>
      <w:r w:rsidR="00D60DA5">
        <w:t>institucije</w:t>
      </w:r>
      <w:proofErr w:type="spellEnd"/>
      <w:r w:rsidR="00D60DA5">
        <w:t xml:space="preserve"> </w:t>
      </w:r>
      <w:proofErr w:type="spellStart"/>
      <w:r w:rsidR="00D60DA5">
        <w:t>i</w:t>
      </w:r>
      <w:proofErr w:type="spellEnd"/>
      <w:r w:rsidR="00D60DA5">
        <w:t xml:space="preserve"> centre </w:t>
      </w:r>
      <w:proofErr w:type="spellStart"/>
      <w:r w:rsidR="00D60DA5">
        <w:t>za</w:t>
      </w:r>
      <w:proofErr w:type="spellEnd"/>
      <w:r w:rsidR="00D60DA5">
        <w:t xml:space="preserve"> </w:t>
      </w:r>
      <w:proofErr w:type="spellStart"/>
      <w:r w:rsidR="00D60DA5">
        <w:t>socijalni</w:t>
      </w:r>
      <w:proofErr w:type="spellEnd"/>
      <w:r w:rsidR="00D60DA5">
        <w:t xml:space="preserve"> </w:t>
      </w:r>
      <w:proofErr w:type="spellStart"/>
      <w:r w:rsidR="00D60DA5">
        <w:t>rad</w:t>
      </w:r>
      <w:proofErr w:type="spellEnd"/>
      <w:r w:rsidR="00D60DA5">
        <w:t xml:space="preserve"> (250.000 KM) </w:t>
      </w:r>
      <w:proofErr w:type="spellStart"/>
      <w:r w:rsidR="00D60DA5">
        <w:t>i</w:t>
      </w:r>
      <w:proofErr w:type="spellEnd"/>
      <w:r w:rsidR="00D60DA5">
        <w:t xml:space="preserve"> </w:t>
      </w:r>
      <w:proofErr w:type="spellStart"/>
      <w:r w:rsidR="0065219D">
        <w:t>Granta</w:t>
      </w:r>
      <w:proofErr w:type="spellEnd"/>
      <w:r w:rsidR="0065219D">
        <w:t xml:space="preserve"> </w:t>
      </w:r>
      <w:proofErr w:type="spellStart"/>
      <w:r w:rsidR="0065219D">
        <w:t>za</w:t>
      </w:r>
      <w:proofErr w:type="spellEnd"/>
      <w:r w:rsidR="0065219D">
        <w:t xml:space="preserve"> </w:t>
      </w:r>
      <w:proofErr w:type="spellStart"/>
      <w:r w:rsidR="0065219D">
        <w:t>razvoj</w:t>
      </w:r>
      <w:proofErr w:type="spellEnd"/>
      <w:r w:rsidR="0065219D">
        <w:t xml:space="preserve"> </w:t>
      </w:r>
      <w:proofErr w:type="spellStart"/>
      <w:r w:rsidR="0065219D">
        <w:t>poduzetništva</w:t>
      </w:r>
      <w:proofErr w:type="spellEnd"/>
      <w:r w:rsidR="0065219D">
        <w:t xml:space="preserve">, </w:t>
      </w:r>
      <w:proofErr w:type="spellStart"/>
      <w:r w:rsidR="0065219D">
        <w:t>obrta</w:t>
      </w:r>
      <w:proofErr w:type="spellEnd"/>
      <w:r w:rsidR="0065219D">
        <w:t xml:space="preserve"> </w:t>
      </w:r>
      <w:proofErr w:type="spellStart"/>
      <w:r w:rsidR="0065219D">
        <w:t>i</w:t>
      </w:r>
      <w:proofErr w:type="spellEnd"/>
      <w:r w:rsidR="0065219D">
        <w:t xml:space="preserve"> </w:t>
      </w:r>
      <w:proofErr w:type="spellStart"/>
      <w:r w:rsidR="0065219D">
        <w:t>zadruga</w:t>
      </w:r>
      <w:proofErr w:type="spellEnd"/>
      <w:r w:rsidR="0065219D">
        <w:t xml:space="preserve"> (</w:t>
      </w:r>
      <w:r w:rsidR="00D60DA5">
        <w:t>654.823 KM</w:t>
      </w:r>
      <w:r w:rsidR="0065219D">
        <w:t xml:space="preserve">), a </w:t>
      </w:r>
      <w:proofErr w:type="spellStart"/>
      <w:r w:rsidR="0065219D">
        <w:t>na</w:t>
      </w:r>
      <w:proofErr w:type="spellEnd"/>
      <w:r w:rsidR="0065219D">
        <w:t xml:space="preserve"> </w:t>
      </w:r>
      <w:proofErr w:type="spellStart"/>
      <w:r w:rsidR="0065219D">
        <w:t>temelju</w:t>
      </w:r>
      <w:proofErr w:type="spellEnd"/>
      <w:r w:rsidR="0065219D">
        <w:t xml:space="preserve"> </w:t>
      </w:r>
      <w:proofErr w:type="spellStart"/>
      <w:r w:rsidR="0065219D">
        <w:t>prethodno</w:t>
      </w:r>
      <w:proofErr w:type="spellEnd"/>
      <w:r w:rsidR="0065219D">
        <w:t xml:space="preserve"> </w:t>
      </w:r>
      <w:proofErr w:type="spellStart"/>
      <w:r w:rsidR="0065219D">
        <w:t>donesene</w:t>
      </w:r>
      <w:proofErr w:type="spellEnd"/>
      <w:r w:rsidR="0065219D">
        <w:t xml:space="preserve"> </w:t>
      </w:r>
      <w:proofErr w:type="spellStart"/>
      <w:r w:rsidR="0065219D">
        <w:t>Odluke</w:t>
      </w:r>
      <w:proofErr w:type="spellEnd"/>
      <w:r w:rsidR="0065219D">
        <w:t xml:space="preserve"> </w:t>
      </w:r>
      <w:proofErr w:type="spellStart"/>
      <w:r w:rsidR="0065219D">
        <w:t>Vlade</w:t>
      </w:r>
      <w:proofErr w:type="spellEnd"/>
      <w:r w:rsidR="0065219D">
        <w:t xml:space="preserve"> Županije Posavske o </w:t>
      </w:r>
      <w:proofErr w:type="spellStart"/>
      <w:r w:rsidR="0065219D">
        <w:lastRenderedPageBreak/>
        <w:t>prenamjeni</w:t>
      </w:r>
      <w:proofErr w:type="spellEnd"/>
      <w:r w:rsidR="0065219D">
        <w:t xml:space="preserve"> </w:t>
      </w:r>
      <w:proofErr w:type="spellStart"/>
      <w:r w:rsidR="0065219D">
        <w:t>sredstava</w:t>
      </w:r>
      <w:proofErr w:type="spellEnd"/>
      <w:r w:rsidR="0065219D">
        <w:t xml:space="preserve"> </w:t>
      </w:r>
      <w:proofErr w:type="spellStart"/>
      <w:r w:rsidR="0065219D">
        <w:t>od</w:t>
      </w:r>
      <w:proofErr w:type="spellEnd"/>
      <w:r w:rsidR="0065219D">
        <w:t xml:space="preserve"> </w:t>
      </w:r>
      <w:proofErr w:type="spellStart"/>
      <w:r w:rsidR="0065219D">
        <w:t>prihoda</w:t>
      </w:r>
      <w:proofErr w:type="spellEnd"/>
      <w:r w:rsidR="0065219D">
        <w:t xml:space="preserve"> </w:t>
      </w:r>
      <w:proofErr w:type="spellStart"/>
      <w:r w:rsidR="0065219D">
        <w:t>od</w:t>
      </w:r>
      <w:proofErr w:type="spellEnd"/>
      <w:r w:rsidR="0065219D">
        <w:t xml:space="preserve"> </w:t>
      </w:r>
      <w:proofErr w:type="spellStart"/>
      <w:r w:rsidR="0065219D">
        <w:t>neizravnih</w:t>
      </w:r>
      <w:proofErr w:type="spellEnd"/>
      <w:r w:rsidR="0065219D">
        <w:t xml:space="preserve"> </w:t>
      </w:r>
      <w:proofErr w:type="spellStart"/>
      <w:r w:rsidR="0065219D">
        <w:t>poreza</w:t>
      </w:r>
      <w:proofErr w:type="spellEnd"/>
      <w:r w:rsidR="0065219D">
        <w:t xml:space="preserve"> </w:t>
      </w:r>
      <w:proofErr w:type="spellStart"/>
      <w:r w:rsidR="0065219D">
        <w:t>na</w:t>
      </w:r>
      <w:proofErr w:type="spellEnd"/>
      <w:r w:rsidR="0065219D">
        <w:t xml:space="preserve"> </w:t>
      </w:r>
      <w:proofErr w:type="spellStart"/>
      <w:r w:rsidR="0065219D">
        <w:t>ime</w:t>
      </w:r>
      <w:proofErr w:type="spellEnd"/>
      <w:r w:rsidR="0065219D">
        <w:t xml:space="preserve"> </w:t>
      </w:r>
      <w:proofErr w:type="spellStart"/>
      <w:r w:rsidR="0065219D">
        <w:t>financiranja</w:t>
      </w:r>
      <w:proofErr w:type="spellEnd"/>
      <w:r w:rsidR="0065219D">
        <w:t xml:space="preserve"> </w:t>
      </w:r>
      <w:proofErr w:type="spellStart"/>
      <w:r w:rsidR="0065219D">
        <w:t>autocesta</w:t>
      </w:r>
      <w:proofErr w:type="spellEnd"/>
      <w:r w:rsidR="0065219D">
        <w:t xml:space="preserve"> u </w:t>
      </w:r>
      <w:proofErr w:type="spellStart"/>
      <w:r w:rsidR="0065219D">
        <w:t>Federaciji</w:t>
      </w:r>
      <w:proofErr w:type="spellEnd"/>
      <w:r w:rsidR="0065219D">
        <w:t xml:space="preserve"> </w:t>
      </w:r>
      <w:proofErr w:type="spellStart"/>
      <w:r w:rsidR="0065219D">
        <w:t>Bosne</w:t>
      </w:r>
      <w:proofErr w:type="spellEnd"/>
      <w:r w:rsidR="0065219D">
        <w:t xml:space="preserve"> </w:t>
      </w:r>
      <w:proofErr w:type="spellStart"/>
      <w:r w:rsidR="0065219D">
        <w:t>i</w:t>
      </w:r>
      <w:proofErr w:type="spellEnd"/>
      <w:r w:rsidR="0065219D">
        <w:t xml:space="preserve"> </w:t>
      </w:r>
      <w:proofErr w:type="spellStart"/>
      <w:r w:rsidR="0065219D">
        <w:t>Hercegovine</w:t>
      </w:r>
      <w:proofErr w:type="spellEnd"/>
      <w:r w:rsidR="0065219D">
        <w:t xml:space="preserve">, </w:t>
      </w:r>
      <w:proofErr w:type="spellStart"/>
      <w:r w:rsidR="0065219D">
        <w:t>prihoda</w:t>
      </w:r>
      <w:proofErr w:type="spellEnd"/>
      <w:r w:rsidR="0065219D">
        <w:t xml:space="preserve"> </w:t>
      </w:r>
      <w:proofErr w:type="spellStart"/>
      <w:r w:rsidR="0065219D">
        <w:t>od</w:t>
      </w:r>
      <w:proofErr w:type="spellEnd"/>
      <w:r w:rsidR="0065219D">
        <w:t xml:space="preserve"> </w:t>
      </w:r>
      <w:proofErr w:type="spellStart"/>
      <w:r w:rsidR="0065219D">
        <w:t>neizravnih</w:t>
      </w:r>
      <w:proofErr w:type="spellEnd"/>
      <w:r w:rsidR="0065219D">
        <w:t xml:space="preserve"> </w:t>
      </w:r>
      <w:proofErr w:type="spellStart"/>
      <w:r w:rsidR="0065219D">
        <w:t>poreza</w:t>
      </w:r>
      <w:proofErr w:type="spellEnd"/>
      <w:r w:rsidR="0065219D">
        <w:t xml:space="preserve"> </w:t>
      </w:r>
      <w:proofErr w:type="spellStart"/>
      <w:r w:rsidR="0065219D">
        <w:t>koji</w:t>
      </w:r>
      <w:proofErr w:type="spellEnd"/>
      <w:r w:rsidR="0065219D">
        <w:t xml:space="preserve"> </w:t>
      </w:r>
      <w:proofErr w:type="spellStart"/>
      <w:r w:rsidR="0065219D">
        <w:t>pripadaju</w:t>
      </w:r>
      <w:proofErr w:type="spellEnd"/>
      <w:r w:rsidR="0065219D">
        <w:t xml:space="preserve"> </w:t>
      </w:r>
      <w:proofErr w:type="spellStart"/>
      <w:r w:rsidR="0065219D">
        <w:t>Direkciji</w:t>
      </w:r>
      <w:proofErr w:type="spellEnd"/>
      <w:r w:rsidR="0065219D">
        <w:t xml:space="preserve"> </w:t>
      </w:r>
      <w:proofErr w:type="spellStart"/>
      <w:r w:rsidR="0065219D">
        <w:t>cesta</w:t>
      </w:r>
      <w:proofErr w:type="spellEnd"/>
      <w:r w:rsidR="0065219D">
        <w:t xml:space="preserve"> </w:t>
      </w:r>
      <w:proofErr w:type="spellStart"/>
      <w:r w:rsidR="0065219D">
        <w:t>i</w:t>
      </w:r>
      <w:proofErr w:type="spellEnd"/>
      <w:r w:rsidR="0065219D">
        <w:t xml:space="preserve"> </w:t>
      </w:r>
      <w:proofErr w:type="spellStart"/>
      <w:r w:rsidR="0065219D">
        <w:t>posebnih</w:t>
      </w:r>
      <w:proofErr w:type="spellEnd"/>
      <w:r w:rsidR="0065219D">
        <w:t xml:space="preserve"> </w:t>
      </w:r>
      <w:proofErr w:type="spellStart"/>
      <w:r w:rsidR="0065219D">
        <w:t>naknada</w:t>
      </w:r>
      <w:proofErr w:type="spellEnd"/>
      <w:r w:rsidR="0065219D">
        <w:t xml:space="preserve"> </w:t>
      </w:r>
      <w:proofErr w:type="spellStart"/>
      <w:r w:rsidR="0065219D">
        <w:t>za</w:t>
      </w:r>
      <w:proofErr w:type="spellEnd"/>
      <w:r w:rsidR="0065219D">
        <w:t xml:space="preserve"> </w:t>
      </w:r>
      <w:proofErr w:type="spellStart"/>
      <w:r w:rsidR="0065219D">
        <w:t>okoliš</w:t>
      </w:r>
      <w:proofErr w:type="spellEnd"/>
      <w:r w:rsidR="0065219D">
        <w:t xml:space="preserve"> </w:t>
      </w:r>
      <w:proofErr w:type="spellStart"/>
      <w:r w:rsidR="0065219D">
        <w:t>koje</w:t>
      </w:r>
      <w:proofErr w:type="spellEnd"/>
      <w:r w:rsidR="0065219D">
        <w:t xml:space="preserve"> </w:t>
      </w:r>
      <w:proofErr w:type="spellStart"/>
      <w:r w:rsidR="0065219D">
        <w:t>plaćaju</w:t>
      </w:r>
      <w:proofErr w:type="spellEnd"/>
      <w:r w:rsidR="0065219D">
        <w:t xml:space="preserve"> </w:t>
      </w:r>
      <w:proofErr w:type="spellStart"/>
      <w:r w:rsidR="0065219D">
        <w:t>fizičke</w:t>
      </w:r>
      <w:proofErr w:type="spellEnd"/>
      <w:r w:rsidR="0065219D">
        <w:t xml:space="preserve"> </w:t>
      </w:r>
      <w:proofErr w:type="spellStart"/>
      <w:r w:rsidR="0065219D">
        <w:t>osobe</w:t>
      </w:r>
      <w:proofErr w:type="spellEnd"/>
      <w:r w:rsidR="0065219D">
        <w:t xml:space="preserve"> </w:t>
      </w:r>
      <w:proofErr w:type="spellStart"/>
      <w:r w:rsidR="0065219D">
        <w:t>pri</w:t>
      </w:r>
      <w:proofErr w:type="spellEnd"/>
      <w:r w:rsidR="0065219D">
        <w:t xml:space="preserve"> </w:t>
      </w:r>
      <w:proofErr w:type="spellStart"/>
      <w:r w:rsidR="0065219D">
        <w:t>svakoj</w:t>
      </w:r>
      <w:proofErr w:type="spellEnd"/>
      <w:r w:rsidR="0065219D">
        <w:t xml:space="preserve"> </w:t>
      </w:r>
      <w:proofErr w:type="spellStart"/>
      <w:r w:rsidR="0065219D">
        <w:t>registraciji</w:t>
      </w:r>
      <w:proofErr w:type="spellEnd"/>
      <w:r w:rsidR="0065219D">
        <w:t xml:space="preserve"> </w:t>
      </w:r>
      <w:proofErr w:type="spellStart"/>
      <w:r w:rsidR="0065219D">
        <w:t>motornih</w:t>
      </w:r>
      <w:proofErr w:type="spellEnd"/>
      <w:r w:rsidR="0065219D">
        <w:t xml:space="preserve"> </w:t>
      </w:r>
      <w:proofErr w:type="spellStart"/>
      <w:r w:rsidR="0065219D">
        <w:t>vozila</w:t>
      </w:r>
      <w:proofErr w:type="spellEnd"/>
      <w:r w:rsidR="0065219D">
        <w:t xml:space="preserve"> </w:t>
      </w:r>
      <w:proofErr w:type="spellStart"/>
      <w:r w:rsidR="0065219D">
        <w:t>razgraničenih</w:t>
      </w:r>
      <w:proofErr w:type="spellEnd"/>
      <w:r w:rsidR="0065219D">
        <w:t xml:space="preserve"> </w:t>
      </w:r>
      <w:proofErr w:type="spellStart"/>
      <w:r w:rsidR="0065219D">
        <w:t>na</w:t>
      </w:r>
      <w:proofErr w:type="spellEnd"/>
      <w:r w:rsidR="0065219D">
        <w:t xml:space="preserve"> </w:t>
      </w:r>
      <w:proofErr w:type="spellStart"/>
      <w:r w:rsidR="0065219D">
        <w:t>dan</w:t>
      </w:r>
      <w:proofErr w:type="spellEnd"/>
      <w:r w:rsidR="0065219D">
        <w:t xml:space="preserve"> 31.12.2019. </w:t>
      </w:r>
      <w:proofErr w:type="spellStart"/>
      <w:r w:rsidR="0065219D">
        <w:t>godine</w:t>
      </w:r>
      <w:proofErr w:type="spellEnd"/>
      <w:r w:rsidR="0065219D">
        <w:t xml:space="preserve"> </w:t>
      </w:r>
      <w:proofErr w:type="spellStart"/>
      <w:r w:rsidR="0065219D" w:rsidRPr="00626192">
        <w:rPr>
          <w:color w:val="000000"/>
          <w:lang w:eastAsia="hr-HR"/>
        </w:rPr>
        <w:t>za</w:t>
      </w:r>
      <w:proofErr w:type="spellEnd"/>
      <w:r w:rsidR="0065219D" w:rsidRPr="00626192">
        <w:rPr>
          <w:color w:val="000000"/>
          <w:lang w:eastAsia="hr-HR"/>
        </w:rPr>
        <w:t xml:space="preserve"> </w:t>
      </w:r>
      <w:proofErr w:type="spellStart"/>
      <w:r w:rsidR="0065219D">
        <w:rPr>
          <w:color w:val="000000"/>
          <w:lang w:eastAsia="hr-HR"/>
        </w:rPr>
        <w:t>saniranje</w:t>
      </w:r>
      <w:proofErr w:type="spellEnd"/>
      <w:r w:rsidR="0065219D">
        <w:rPr>
          <w:color w:val="000000"/>
          <w:lang w:eastAsia="hr-HR"/>
        </w:rPr>
        <w:t xml:space="preserve"> </w:t>
      </w:r>
      <w:proofErr w:type="spellStart"/>
      <w:r w:rsidR="0065219D">
        <w:rPr>
          <w:color w:val="000000"/>
          <w:lang w:eastAsia="hr-HR"/>
        </w:rPr>
        <w:t>zdravstvenih</w:t>
      </w:r>
      <w:proofErr w:type="spellEnd"/>
      <w:r w:rsidR="0065219D">
        <w:rPr>
          <w:color w:val="000000"/>
          <w:lang w:eastAsia="hr-HR"/>
        </w:rPr>
        <w:t xml:space="preserve"> </w:t>
      </w:r>
      <w:proofErr w:type="spellStart"/>
      <w:r w:rsidR="0065219D" w:rsidRPr="00626192">
        <w:rPr>
          <w:color w:val="000000"/>
          <w:lang w:eastAsia="hr-HR"/>
        </w:rPr>
        <w:t>i</w:t>
      </w:r>
      <w:proofErr w:type="spellEnd"/>
      <w:r w:rsidR="0065219D" w:rsidRPr="00626192">
        <w:rPr>
          <w:color w:val="000000"/>
          <w:lang w:eastAsia="hr-HR"/>
        </w:rPr>
        <w:t xml:space="preserve"> </w:t>
      </w:r>
      <w:proofErr w:type="spellStart"/>
      <w:r w:rsidR="0065219D" w:rsidRPr="00626192">
        <w:rPr>
          <w:color w:val="000000"/>
          <w:lang w:eastAsia="hr-HR"/>
        </w:rPr>
        <w:t>ekonomskih</w:t>
      </w:r>
      <w:proofErr w:type="spellEnd"/>
      <w:r w:rsidR="0065219D" w:rsidRPr="00626192">
        <w:rPr>
          <w:color w:val="000000"/>
          <w:lang w:eastAsia="hr-HR"/>
        </w:rPr>
        <w:t xml:space="preserve"> </w:t>
      </w:r>
      <w:proofErr w:type="spellStart"/>
      <w:r w:rsidR="0065219D" w:rsidRPr="00626192">
        <w:rPr>
          <w:color w:val="000000"/>
          <w:lang w:eastAsia="hr-HR"/>
        </w:rPr>
        <w:t>posljedica</w:t>
      </w:r>
      <w:proofErr w:type="spellEnd"/>
      <w:r w:rsidR="0065219D" w:rsidRPr="00626192">
        <w:rPr>
          <w:color w:val="000000"/>
          <w:lang w:eastAsia="hr-HR"/>
        </w:rPr>
        <w:t xml:space="preserve"> </w:t>
      </w:r>
      <w:proofErr w:type="spellStart"/>
      <w:r w:rsidR="0065219D" w:rsidRPr="00626192">
        <w:rPr>
          <w:color w:val="000000"/>
          <w:lang w:eastAsia="hr-HR"/>
        </w:rPr>
        <w:t>proglašenog</w:t>
      </w:r>
      <w:proofErr w:type="spellEnd"/>
      <w:r w:rsidR="0065219D" w:rsidRPr="00626192">
        <w:rPr>
          <w:color w:val="000000"/>
          <w:lang w:eastAsia="hr-HR"/>
        </w:rPr>
        <w:t xml:space="preserve"> </w:t>
      </w:r>
      <w:proofErr w:type="spellStart"/>
      <w:r w:rsidR="0065219D" w:rsidRPr="00626192">
        <w:rPr>
          <w:color w:val="000000"/>
          <w:lang w:eastAsia="hr-HR"/>
        </w:rPr>
        <w:t>stanja</w:t>
      </w:r>
      <w:proofErr w:type="spellEnd"/>
      <w:r w:rsidR="0065219D" w:rsidRPr="00626192">
        <w:rPr>
          <w:color w:val="000000"/>
          <w:lang w:eastAsia="hr-HR"/>
        </w:rPr>
        <w:t xml:space="preserve"> </w:t>
      </w:r>
      <w:proofErr w:type="spellStart"/>
      <w:r w:rsidR="0065219D" w:rsidRPr="00626192">
        <w:rPr>
          <w:color w:val="000000"/>
          <w:lang w:eastAsia="hr-HR"/>
        </w:rPr>
        <w:t>nepogode</w:t>
      </w:r>
      <w:proofErr w:type="spellEnd"/>
      <w:r w:rsidR="0065219D">
        <w:rPr>
          <w:color w:val="000000"/>
          <w:lang w:eastAsia="hr-HR"/>
        </w:rPr>
        <w:t>.</w:t>
      </w:r>
      <w:r w:rsidR="00B11E03">
        <w:rPr>
          <w:color w:val="000000"/>
          <w:lang w:eastAsia="hr-HR"/>
        </w:rPr>
        <w:t xml:space="preserve"> </w:t>
      </w:r>
      <w:proofErr w:type="spellStart"/>
      <w:r w:rsidR="007258BD">
        <w:rPr>
          <w:color w:val="000000"/>
          <w:lang w:eastAsia="hr-HR"/>
        </w:rPr>
        <w:t>Navedena</w:t>
      </w:r>
      <w:proofErr w:type="spellEnd"/>
      <w:r w:rsidR="007258BD">
        <w:rPr>
          <w:color w:val="000000"/>
          <w:lang w:eastAsia="hr-HR"/>
        </w:rPr>
        <w:t xml:space="preserve"> </w:t>
      </w:r>
      <w:proofErr w:type="spellStart"/>
      <w:r w:rsidR="007258BD">
        <w:rPr>
          <w:color w:val="000000"/>
          <w:lang w:eastAsia="hr-HR"/>
        </w:rPr>
        <w:t>s</w:t>
      </w:r>
      <w:r w:rsidR="00B11E03">
        <w:rPr>
          <w:color w:val="000000"/>
          <w:lang w:eastAsia="hr-HR"/>
        </w:rPr>
        <w:t>redstva</w:t>
      </w:r>
      <w:proofErr w:type="spellEnd"/>
      <w:r w:rsidR="00B11E03">
        <w:rPr>
          <w:color w:val="000000"/>
          <w:lang w:eastAsia="hr-HR"/>
        </w:rPr>
        <w:t xml:space="preserve"> </w:t>
      </w:r>
      <w:proofErr w:type="spellStart"/>
      <w:r w:rsidR="00BA3100">
        <w:rPr>
          <w:color w:val="000000"/>
          <w:lang w:eastAsia="hr-HR"/>
        </w:rPr>
        <w:t>pri</w:t>
      </w:r>
      <w:proofErr w:type="spellEnd"/>
      <w:r w:rsidR="00BA3100">
        <w:rPr>
          <w:color w:val="000000"/>
          <w:lang w:eastAsia="hr-HR"/>
        </w:rPr>
        <w:t xml:space="preserve"> </w:t>
      </w:r>
      <w:proofErr w:type="spellStart"/>
      <w:r w:rsidR="00BA3100">
        <w:rPr>
          <w:color w:val="000000"/>
          <w:lang w:eastAsia="hr-HR"/>
        </w:rPr>
        <w:t>G</w:t>
      </w:r>
      <w:r w:rsidR="007258BD">
        <w:rPr>
          <w:color w:val="000000"/>
          <w:lang w:eastAsia="hr-HR"/>
        </w:rPr>
        <w:t>rantu</w:t>
      </w:r>
      <w:proofErr w:type="spellEnd"/>
      <w:r w:rsidR="007258BD">
        <w:rPr>
          <w:color w:val="000000"/>
          <w:lang w:eastAsia="hr-HR"/>
        </w:rPr>
        <w:t xml:space="preserve"> </w:t>
      </w:r>
      <w:proofErr w:type="spellStart"/>
      <w:r w:rsidR="007258BD">
        <w:rPr>
          <w:color w:val="000000"/>
          <w:lang w:eastAsia="hr-HR"/>
        </w:rPr>
        <w:t>za</w:t>
      </w:r>
      <w:proofErr w:type="spellEnd"/>
      <w:r w:rsidR="007258BD">
        <w:rPr>
          <w:color w:val="000000"/>
          <w:lang w:eastAsia="hr-HR"/>
        </w:rPr>
        <w:t xml:space="preserve"> </w:t>
      </w:r>
      <w:proofErr w:type="spellStart"/>
      <w:r w:rsidR="007258BD">
        <w:rPr>
          <w:color w:val="000000"/>
          <w:lang w:eastAsia="hr-HR"/>
        </w:rPr>
        <w:t>razvoj</w:t>
      </w:r>
      <w:proofErr w:type="spellEnd"/>
      <w:r w:rsidR="007258BD">
        <w:rPr>
          <w:color w:val="000000"/>
          <w:lang w:eastAsia="hr-HR"/>
        </w:rPr>
        <w:t xml:space="preserve"> </w:t>
      </w:r>
      <w:proofErr w:type="spellStart"/>
      <w:r w:rsidR="007258BD">
        <w:rPr>
          <w:color w:val="000000"/>
          <w:lang w:eastAsia="hr-HR"/>
        </w:rPr>
        <w:t>poduzetništva</w:t>
      </w:r>
      <w:proofErr w:type="spellEnd"/>
      <w:r w:rsidR="007258BD">
        <w:rPr>
          <w:color w:val="000000"/>
          <w:lang w:eastAsia="hr-HR"/>
        </w:rPr>
        <w:t xml:space="preserve">, </w:t>
      </w:r>
      <w:proofErr w:type="spellStart"/>
      <w:r w:rsidR="007258BD">
        <w:rPr>
          <w:color w:val="000000"/>
          <w:lang w:eastAsia="hr-HR"/>
        </w:rPr>
        <w:t>o</w:t>
      </w:r>
      <w:r w:rsidR="00BA3100">
        <w:rPr>
          <w:color w:val="000000"/>
          <w:lang w:eastAsia="hr-HR"/>
        </w:rPr>
        <w:t>brta</w:t>
      </w:r>
      <w:proofErr w:type="spellEnd"/>
      <w:r w:rsidR="00BA3100">
        <w:rPr>
          <w:color w:val="000000"/>
          <w:lang w:eastAsia="hr-HR"/>
        </w:rPr>
        <w:t xml:space="preserve"> </w:t>
      </w:r>
      <w:proofErr w:type="spellStart"/>
      <w:r w:rsidR="00BA3100">
        <w:rPr>
          <w:color w:val="000000"/>
          <w:lang w:eastAsia="hr-HR"/>
        </w:rPr>
        <w:t>i</w:t>
      </w:r>
      <w:proofErr w:type="spellEnd"/>
      <w:r w:rsidR="00BA3100">
        <w:rPr>
          <w:color w:val="000000"/>
          <w:lang w:eastAsia="hr-HR"/>
        </w:rPr>
        <w:t xml:space="preserve"> </w:t>
      </w:r>
      <w:proofErr w:type="spellStart"/>
      <w:r w:rsidR="00BA3100">
        <w:rPr>
          <w:color w:val="000000"/>
          <w:lang w:eastAsia="hr-HR"/>
        </w:rPr>
        <w:t>zadruga</w:t>
      </w:r>
      <w:proofErr w:type="spellEnd"/>
      <w:r w:rsidR="00BA3100">
        <w:rPr>
          <w:color w:val="000000"/>
          <w:lang w:eastAsia="hr-HR"/>
        </w:rPr>
        <w:t xml:space="preserve"> </w:t>
      </w:r>
      <w:proofErr w:type="spellStart"/>
      <w:r w:rsidR="00B11E03">
        <w:rPr>
          <w:color w:val="000000"/>
          <w:lang w:eastAsia="hr-HR"/>
        </w:rPr>
        <w:t>su</w:t>
      </w:r>
      <w:proofErr w:type="spellEnd"/>
      <w:r w:rsidR="00B11E03">
        <w:rPr>
          <w:color w:val="000000"/>
          <w:lang w:eastAsia="hr-HR"/>
        </w:rPr>
        <w:t xml:space="preserve"> </w:t>
      </w:r>
      <w:proofErr w:type="spellStart"/>
      <w:r w:rsidR="00B11E03">
        <w:rPr>
          <w:color w:val="000000"/>
          <w:lang w:eastAsia="hr-HR"/>
        </w:rPr>
        <w:t>iskorištena</w:t>
      </w:r>
      <w:proofErr w:type="spellEnd"/>
      <w:r w:rsidR="00B11E03">
        <w:rPr>
          <w:color w:val="000000"/>
          <w:lang w:eastAsia="hr-HR"/>
        </w:rPr>
        <w:t xml:space="preserve"> </w:t>
      </w:r>
      <w:proofErr w:type="spellStart"/>
      <w:r w:rsidR="00B11E03">
        <w:rPr>
          <w:color w:val="000000"/>
          <w:lang w:eastAsia="hr-HR"/>
        </w:rPr>
        <w:t>za</w:t>
      </w:r>
      <w:proofErr w:type="spellEnd"/>
      <w:r w:rsidR="00BA3100">
        <w:rPr>
          <w:color w:val="000000"/>
          <w:lang w:eastAsia="hr-HR"/>
        </w:rPr>
        <w:t>:</w:t>
      </w:r>
      <w:r w:rsidR="00B11E03">
        <w:rPr>
          <w:color w:val="000000"/>
          <w:lang w:eastAsia="hr-HR"/>
        </w:rPr>
        <w:t xml:space="preserve"> </w:t>
      </w:r>
    </w:p>
    <w:p w:rsidR="00BA3100" w:rsidRPr="00BA3100" w:rsidRDefault="00BA3100" w:rsidP="007258BD">
      <w:pPr>
        <w:pStyle w:val="Default"/>
        <w:numPr>
          <w:ilvl w:val="0"/>
          <w:numId w:val="38"/>
        </w:numPr>
        <w:jc w:val="both"/>
        <w:rPr>
          <w:lang w:eastAsia="hr-HR"/>
        </w:rPr>
      </w:pPr>
      <w:r w:rsidRPr="00BA3100">
        <w:t xml:space="preserve">subvencioniranje isplate neto minimalne plaće odnosno dijela neto minimalne plaće po zaposlenom u poduzeću, obrtu ili zadruzi za mjesec svibanj 2020. godine za </w:t>
      </w:r>
      <w:r>
        <w:t>p</w:t>
      </w:r>
      <w:r w:rsidRPr="00BA3100">
        <w:t>oduzeća, obrt</w:t>
      </w:r>
      <w:r>
        <w:t>e</w:t>
      </w:r>
      <w:r w:rsidRPr="00BA3100">
        <w:t xml:space="preserve"> i zadruge</w:t>
      </w:r>
      <w:r>
        <w:t xml:space="preserve"> </w:t>
      </w:r>
      <w:r w:rsidRPr="00BA3100">
        <w:t>koji su obustavili rad</w:t>
      </w:r>
      <w:r>
        <w:t xml:space="preserve"> </w:t>
      </w:r>
      <w:r w:rsidRPr="00BA3100">
        <w:t xml:space="preserve">sukladno </w:t>
      </w:r>
      <w:r>
        <w:t>z</w:t>
      </w:r>
      <w:r w:rsidRPr="00BA3100">
        <w:t>apovijedima</w:t>
      </w:r>
      <w:r>
        <w:t xml:space="preserve"> </w:t>
      </w:r>
      <w:r w:rsidRPr="00BA3100">
        <w:t>Županijskog stožera</w:t>
      </w:r>
      <w:r>
        <w:t xml:space="preserve"> </w:t>
      </w:r>
      <w:r w:rsidRPr="00BA3100">
        <w:t>civilne zaštite Županije Posavske u iznosu od 57.531,11 KM,</w:t>
      </w:r>
    </w:p>
    <w:p w:rsidR="007258BD" w:rsidRDefault="00BA3100" w:rsidP="007258BD">
      <w:pPr>
        <w:pStyle w:val="Default"/>
        <w:numPr>
          <w:ilvl w:val="0"/>
          <w:numId w:val="38"/>
        </w:numPr>
        <w:jc w:val="both"/>
        <w:rPr>
          <w:lang w:eastAsia="hr-HR"/>
        </w:rPr>
      </w:pPr>
      <w:r w:rsidRPr="00BA3100">
        <w:t>Subvencioniranje isplate dijela</w:t>
      </w:r>
      <w:r>
        <w:t xml:space="preserve"> </w:t>
      </w:r>
      <w:r w:rsidRPr="00BA3100">
        <w:t>neto plaće za zaposlene u</w:t>
      </w:r>
      <w:r>
        <w:t xml:space="preserve"> </w:t>
      </w:r>
      <w:r w:rsidRPr="00BA3100">
        <w:t>poduzeću, obrtu ili zadruzi za</w:t>
      </w:r>
      <w:r>
        <w:t xml:space="preserve"> </w:t>
      </w:r>
      <w:r w:rsidRPr="00BA3100">
        <w:t>mjesec</w:t>
      </w:r>
      <w:r>
        <w:t>e</w:t>
      </w:r>
      <w:r w:rsidRPr="00BA3100">
        <w:t xml:space="preserve"> travanj</w:t>
      </w:r>
      <w:r>
        <w:t>, svibanj i lipanj</w:t>
      </w:r>
      <w:r w:rsidRPr="00BA3100">
        <w:t xml:space="preserve"> 2020. godine </w:t>
      </w:r>
      <w:r w:rsidR="004C0792" w:rsidRPr="00BA3100">
        <w:rPr>
          <w:lang w:eastAsia="hr-HR"/>
        </w:rPr>
        <w:t xml:space="preserve">za ona poduzeća, obrte </w:t>
      </w:r>
      <w:proofErr w:type="spellStart"/>
      <w:r w:rsidR="004C0792" w:rsidRPr="00BA3100">
        <w:rPr>
          <w:lang w:eastAsia="hr-HR"/>
        </w:rPr>
        <w:t>i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zadruge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koji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su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ostvarili</w:t>
      </w:r>
      <w:proofErr w:type="spellEnd"/>
      <w:r w:rsidR="004C0792" w:rsidRPr="00BA3100">
        <w:rPr>
          <w:lang w:eastAsia="hr-HR"/>
        </w:rPr>
        <w:t xml:space="preserve"> pad </w:t>
      </w:r>
      <w:proofErr w:type="spellStart"/>
      <w:r w:rsidR="004C0792" w:rsidRPr="00BA3100">
        <w:rPr>
          <w:lang w:eastAsia="hr-HR"/>
        </w:rPr>
        <w:t>prihoda</w:t>
      </w:r>
      <w:proofErr w:type="spellEnd"/>
      <w:r w:rsidR="004C0792" w:rsidRPr="00BA3100">
        <w:rPr>
          <w:lang w:eastAsia="hr-HR"/>
        </w:rPr>
        <w:t xml:space="preserve"> (</w:t>
      </w:r>
      <w:proofErr w:type="spellStart"/>
      <w:r w:rsidR="004C0792" w:rsidRPr="00BA3100">
        <w:rPr>
          <w:lang w:eastAsia="hr-HR"/>
        </w:rPr>
        <w:t>prometa</w:t>
      </w:r>
      <w:proofErr w:type="spellEnd"/>
      <w:r w:rsidR="004C0792" w:rsidRPr="00BA3100">
        <w:rPr>
          <w:lang w:eastAsia="hr-HR"/>
        </w:rPr>
        <w:t xml:space="preserve">) </w:t>
      </w:r>
      <w:proofErr w:type="spellStart"/>
      <w:r w:rsidR="004C0792" w:rsidRPr="00BA3100">
        <w:rPr>
          <w:lang w:eastAsia="hr-HR"/>
        </w:rPr>
        <w:t>minimalno</w:t>
      </w:r>
      <w:proofErr w:type="spellEnd"/>
      <w:r w:rsidR="004C0792" w:rsidRPr="00BA3100">
        <w:rPr>
          <w:lang w:eastAsia="hr-HR"/>
        </w:rPr>
        <w:t xml:space="preserve"> 20% </w:t>
      </w:r>
      <w:proofErr w:type="spellStart"/>
      <w:r w:rsidR="004C0792" w:rsidRPr="00BA3100">
        <w:rPr>
          <w:lang w:eastAsia="hr-HR"/>
        </w:rPr>
        <w:t>i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više</w:t>
      </w:r>
      <w:proofErr w:type="spellEnd"/>
      <w:r w:rsidR="004C0792" w:rsidRPr="00BA3100">
        <w:rPr>
          <w:lang w:eastAsia="hr-HR"/>
        </w:rPr>
        <w:t xml:space="preserve"> u </w:t>
      </w:r>
      <w:proofErr w:type="spellStart"/>
      <w:r w:rsidR="004C0792" w:rsidRPr="00BA3100">
        <w:rPr>
          <w:lang w:eastAsia="hr-HR"/>
        </w:rPr>
        <w:t>obračunskom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mjesecu</w:t>
      </w:r>
      <w:proofErr w:type="spellEnd"/>
      <w:r w:rsidR="004C0792" w:rsidRPr="00BA3100">
        <w:rPr>
          <w:lang w:eastAsia="hr-HR"/>
        </w:rPr>
        <w:t xml:space="preserve"> 2020. </w:t>
      </w:r>
      <w:proofErr w:type="spellStart"/>
      <w:r w:rsidR="004C0792" w:rsidRPr="00BA3100">
        <w:rPr>
          <w:lang w:eastAsia="hr-HR"/>
        </w:rPr>
        <w:t>godine</w:t>
      </w:r>
      <w:proofErr w:type="spellEnd"/>
      <w:r w:rsidR="004C0792" w:rsidRPr="00BA3100">
        <w:rPr>
          <w:lang w:eastAsia="hr-HR"/>
        </w:rPr>
        <w:t xml:space="preserve"> u </w:t>
      </w:r>
      <w:proofErr w:type="spellStart"/>
      <w:r w:rsidR="004C0792" w:rsidRPr="00BA3100">
        <w:rPr>
          <w:lang w:eastAsia="hr-HR"/>
        </w:rPr>
        <w:t>odnosu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na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ostvareni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prihod</w:t>
      </w:r>
      <w:proofErr w:type="spellEnd"/>
      <w:r w:rsidR="004C0792" w:rsidRPr="00BA3100">
        <w:rPr>
          <w:lang w:eastAsia="hr-HR"/>
        </w:rPr>
        <w:t xml:space="preserve"> (</w:t>
      </w:r>
      <w:proofErr w:type="spellStart"/>
      <w:r w:rsidR="004C0792" w:rsidRPr="00BA3100">
        <w:rPr>
          <w:lang w:eastAsia="hr-HR"/>
        </w:rPr>
        <w:t>promet</w:t>
      </w:r>
      <w:proofErr w:type="spellEnd"/>
      <w:r w:rsidR="004C0792" w:rsidRPr="00BA3100">
        <w:rPr>
          <w:lang w:eastAsia="hr-HR"/>
        </w:rPr>
        <w:t xml:space="preserve">) u </w:t>
      </w:r>
      <w:proofErr w:type="spellStart"/>
      <w:r w:rsidR="004C0792" w:rsidRPr="00BA3100">
        <w:rPr>
          <w:lang w:eastAsia="hr-HR"/>
        </w:rPr>
        <w:t>istom</w:t>
      </w:r>
      <w:proofErr w:type="spellEnd"/>
      <w:r w:rsidR="004C0792" w:rsidRPr="00BA3100">
        <w:rPr>
          <w:lang w:eastAsia="hr-HR"/>
        </w:rPr>
        <w:t xml:space="preserve"> </w:t>
      </w:r>
      <w:proofErr w:type="spellStart"/>
      <w:r w:rsidR="004C0792" w:rsidRPr="00BA3100">
        <w:rPr>
          <w:lang w:eastAsia="hr-HR"/>
        </w:rPr>
        <w:t>mjesecu</w:t>
      </w:r>
      <w:proofErr w:type="spellEnd"/>
      <w:r w:rsidR="004C0792" w:rsidRPr="00BA3100">
        <w:rPr>
          <w:lang w:eastAsia="hr-HR"/>
        </w:rPr>
        <w:t xml:space="preserve"> 2019. godine</w:t>
      </w:r>
      <w:r w:rsidR="00D60DA5" w:rsidRPr="00BA3100">
        <w:rPr>
          <w:lang w:eastAsia="hr-HR"/>
        </w:rPr>
        <w:t xml:space="preserve">, </w:t>
      </w:r>
      <w:r>
        <w:rPr>
          <w:lang w:eastAsia="hr-HR"/>
        </w:rPr>
        <w:t xml:space="preserve">u iznosu od </w:t>
      </w:r>
      <w:r w:rsidR="007258BD">
        <w:rPr>
          <w:lang w:eastAsia="hr-HR"/>
        </w:rPr>
        <w:t>597.292,21 KM</w:t>
      </w:r>
      <w:r w:rsidR="004C0792" w:rsidRPr="00BA3100">
        <w:rPr>
          <w:lang w:eastAsia="hr-HR"/>
        </w:rPr>
        <w:t xml:space="preserve">. </w:t>
      </w:r>
    </w:p>
    <w:p w:rsidR="00374308" w:rsidRDefault="00374308" w:rsidP="007258BD">
      <w:pPr>
        <w:pStyle w:val="Default"/>
        <w:jc w:val="both"/>
        <w:rPr>
          <w:lang w:eastAsia="hr-HR"/>
        </w:rPr>
      </w:pPr>
    </w:p>
    <w:p w:rsidR="007258BD" w:rsidRDefault="007258BD" w:rsidP="007258BD">
      <w:pPr>
        <w:pStyle w:val="Default"/>
        <w:jc w:val="both"/>
      </w:pPr>
      <w:r>
        <w:rPr>
          <w:lang w:eastAsia="hr-HR"/>
        </w:rPr>
        <w:t xml:space="preserve">Nadalje, iznos od 250.000,00 KM ovih sredstava iskorišteno je pri Transferu za zdravstvene institucije i centre za socijalni rad za </w:t>
      </w:r>
      <w:r>
        <w:t xml:space="preserve">pokriće izdataka za saniranje zdravstvenih posljedica proglašenog stanja nepogode izazvane </w:t>
      </w:r>
      <w:proofErr w:type="spellStart"/>
      <w:r>
        <w:t>corona</w:t>
      </w:r>
      <w:proofErr w:type="spellEnd"/>
      <w:r>
        <w:t xml:space="preserve"> virusom (</w:t>
      </w:r>
      <w:proofErr w:type="spellStart"/>
      <w:r>
        <w:t>Covid</w:t>
      </w:r>
      <w:proofErr w:type="spellEnd"/>
      <w:r>
        <w:t>-19) u zdravstvenim ustanovama na području Županije Posavske.</w:t>
      </w:r>
    </w:p>
    <w:p w:rsidR="007258BD" w:rsidRDefault="007258BD" w:rsidP="007258BD">
      <w:pPr>
        <w:pStyle w:val="Default"/>
        <w:jc w:val="both"/>
        <w:rPr>
          <w:lang w:eastAsia="hr-HR"/>
        </w:rPr>
      </w:pPr>
    </w:p>
    <w:p w:rsidR="00B07D51" w:rsidRDefault="00B07D51" w:rsidP="007258BD">
      <w:pPr>
        <w:pStyle w:val="Default"/>
        <w:jc w:val="both"/>
        <w:rPr>
          <w:lang w:eastAsia="hr-HR"/>
        </w:rPr>
      </w:pPr>
      <w:r>
        <w:rPr>
          <w:lang w:eastAsia="hr-HR"/>
        </w:rPr>
        <w:t xml:space="preserve">U odnosu na isto razdoblje prethodne godine veća potrošnja zabilježena je i na pozicijama: Grant za Sveučilište u Mostaru, </w:t>
      </w:r>
      <w:proofErr w:type="spellStart"/>
      <w:r>
        <w:rPr>
          <w:lang w:eastAsia="hr-HR"/>
        </w:rPr>
        <w:t>Grantovi</w:t>
      </w:r>
      <w:proofErr w:type="spellEnd"/>
      <w:r>
        <w:rPr>
          <w:lang w:eastAsia="hr-HR"/>
        </w:rPr>
        <w:t xml:space="preserve"> nižim razinama vlasti, Isplate stipendija, Grant za sufinanciranje osnovnog i srednjeg obrazovanja djece s posebnim potrebama, Grant za zaštitu od prirodnih i drugih nesreća, </w:t>
      </w:r>
      <w:proofErr w:type="spellStart"/>
      <w:r>
        <w:rPr>
          <w:lang w:eastAsia="hr-HR"/>
        </w:rPr>
        <w:t>grantovi</w:t>
      </w:r>
      <w:proofErr w:type="spellEnd"/>
      <w:r>
        <w:rPr>
          <w:lang w:eastAsia="hr-HR"/>
        </w:rPr>
        <w:t xml:space="preserve"> za udruge roditelja i djece s posebnim potrebama s područja Županije Posavske, </w:t>
      </w:r>
      <w:proofErr w:type="spellStart"/>
      <w:r>
        <w:rPr>
          <w:lang w:eastAsia="hr-HR"/>
        </w:rPr>
        <w:t>Grantovi</w:t>
      </w:r>
      <w:proofErr w:type="spellEnd"/>
      <w:r>
        <w:rPr>
          <w:lang w:eastAsia="hr-HR"/>
        </w:rPr>
        <w:t xml:space="preserve"> za informiranje, </w:t>
      </w:r>
      <w:proofErr w:type="spellStart"/>
      <w:r>
        <w:rPr>
          <w:lang w:eastAsia="hr-HR"/>
        </w:rPr>
        <w:t>Grantovi</w:t>
      </w:r>
      <w:proofErr w:type="spellEnd"/>
      <w:r>
        <w:rPr>
          <w:lang w:eastAsia="hr-HR"/>
        </w:rPr>
        <w:t xml:space="preserve"> za financiranje vjerskih zajednica, </w:t>
      </w:r>
      <w:proofErr w:type="spellStart"/>
      <w:r>
        <w:rPr>
          <w:lang w:eastAsia="hr-HR"/>
        </w:rPr>
        <w:t>Grantovi</w:t>
      </w:r>
      <w:proofErr w:type="spellEnd"/>
      <w:r>
        <w:rPr>
          <w:lang w:eastAsia="hr-HR"/>
        </w:rPr>
        <w:t xml:space="preserve"> za poljoprivredu, vodoprivredu i uređenje poljoprivrednog zemljišta</w:t>
      </w:r>
      <w:r w:rsidR="00374308">
        <w:rPr>
          <w:lang w:eastAsia="hr-HR"/>
        </w:rPr>
        <w:t xml:space="preserve"> te Ostali </w:t>
      </w:r>
      <w:proofErr w:type="spellStart"/>
      <w:r w:rsidR="00374308">
        <w:rPr>
          <w:lang w:eastAsia="hr-HR"/>
        </w:rPr>
        <w:t>grantovi</w:t>
      </w:r>
      <w:proofErr w:type="spellEnd"/>
      <w:r w:rsidR="00374308">
        <w:rPr>
          <w:lang w:eastAsia="hr-HR"/>
        </w:rPr>
        <w:t xml:space="preserve"> – povrati i izvršenja sudskih presuda i rješenja o izvršenju. Potrošnja na ostalim </w:t>
      </w:r>
      <w:proofErr w:type="spellStart"/>
      <w:r w:rsidR="00374308">
        <w:rPr>
          <w:lang w:eastAsia="hr-HR"/>
        </w:rPr>
        <w:t>grantovskim</w:t>
      </w:r>
      <w:proofErr w:type="spellEnd"/>
      <w:r w:rsidR="00374308">
        <w:rPr>
          <w:lang w:eastAsia="hr-HR"/>
        </w:rPr>
        <w:t xml:space="preserve"> pozicijama smanjena je u odnosu na isto razdoblje prethodne godine.</w:t>
      </w:r>
    </w:p>
    <w:p w:rsidR="00374308" w:rsidRDefault="00374308" w:rsidP="007258BD">
      <w:pPr>
        <w:pStyle w:val="Default"/>
        <w:jc w:val="both"/>
        <w:rPr>
          <w:lang w:eastAsia="hr-HR"/>
        </w:rPr>
      </w:pPr>
    </w:p>
    <w:p w:rsidR="00031E60" w:rsidRPr="004C0792" w:rsidRDefault="00031E60" w:rsidP="00031E60">
      <w:pPr>
        <w:pStyle w:val="Tijeloteksta"/>
        <w:spacing w:after="0"/>
        <w:jc w:val="both"/>
        <w:rPr>
          <w:color w:val="000000"/>
          <w:lang w:eastAsia="hr-HR"/>
        </w:rPr>
      </w:pPr>
      <w:proofErr w:type="spellStart"/>
      <w:r>
        <w:t>O</w:t>
      </w:r>
      <w:r w:rsidRPr="005C3411">
        <w:t>d</w:t>
      </w:r>
      <w:proofErr w:type="spellEnd"/>
      <w:r w:rsidRPr="005C3411">
        <w:t xml:space="preserve"> </w:t>
      </w:r>
      <w:proofErr w:type="spellStart"/>
      <w:r w:rsidRPr="005C3411">
        <w:t>ukupno</w:t>
      </w:r>
      <w:proofErr w:type="spellEnd"/>
      <w:r w:rsidRPr="005C3411">
        <w:t xml:space="preserve"> </w:t>
      </w:r>
      <w:proofErr w:type="spellStart"/>
      <w:r>
        <w:t>izvršenih</w:t>
      </w:r>
      <w:proofErr w:type="spellEnd"/>
      <w:r w:rsidRPr="005C3411">
        <w:t xml:space="preserve"> </w:t>
      </w:r>
      <w:proofErr w:type="spellStart"/>
      <w:r>
        <w:t>tekućih</w:t>
      </w:r>
      <w:proofErr w:type="spellEnd"/>
      <w:r>
        <w:t xml:space="preserve"> </w:t>
      </w:r>
      <w:proofErr w:type="spellStart"/>
      <w:r>
        <w:t>grantova</w:t>
      </w:r>
      <w:proofErr w:type="spellEnd"/>
      <w:r w:rsidRPr="005C3411">
        <w:t xml:space="preserve"> </w:t>
      </w:r>
      <w:r w:rsidR="00D60DA5">
        <w:t>82</w:t>
      </w:r>
      <w:proofErr w:type="gramStart"/>
      <w:r w:rsidR="00D60DA5">
        <w:t>,23</w:t>
      </w:r>
      <w:proofErr w:type="gramEnd"/>
      <w:r w:rsidRPr="005C3411">
        <w:t xml:space="preserve">% </w:t>
      </w:r>
      <w:proofErr w:type="spellStart"/>
      <w:r>
        <w:t>financirano</w:t>
      </w:r>
      <w:proofErr w:type="spellEnd"/>
      <w:r>
        <w:t xml:space="preserve"> je</w:t>
      </w:r>
      <w:r w:rsidRPr="005C3411">
        <w:t xml:space="preserve"> </w:t>
      </w:r>
      <w:proofErr w:type="spellStart"/>
      <w:r w:rsidRPr="005C3411">
        <w:t>iz</w:t>
      </w:r>
      <w:proofErr w:type="spellEnd"/>
      <w:r w:rsidRPr="005C3411">
        <w:t xml:space="preserve"> </w:t>
      </w:r>
      <w:proofErr w:type="spellStart"/>
      <w:r w:rsidRPr="005C3411">
        <w:t>proračunskih</w:t>
      </w:r>
      <w:proofErr w:type="spellEnd"/>
      <w:r w:rsidRPr="005C3411">
        <w:t xml:space="preserve"> </w:t>
      </w:r>
      <w:proofErr w:type="spellStart"/>
      <w:r w:rsidRPr="005C3411">
        <w:t>prihoda</w:t>
      </w:r>
      <w:proofErr w:type="spellEnd"/>
      <w:r w:rsidRPr="005C3411">
        <w:t xml:space="preserve"> (</w:t>
      </w:r>
      <w:r w:rsidR="00D60DA5">
        <w:t>6.193.302</w:t>
      </w:r>
      <w:r w:rsidRPr="005C3411">
        <w:t xml:space="preserve"> KM), </w:t>
      </w:r>
      <w:proofErr w:type="spellStart"/>
      <w:r w:rsidRPr="005C3411">
        <w:t>dok</w:t>
      </w:r>
      <w:proofErr w:type="spellEnd"/>
      <w:r w:rsidRPr="005C3411">
        <w:t xml:space="preserve"> </w:t>
      </w:r>
      <w:r>
        <w:t>je</w:t>
      </w:r>
      <w:r w:rsidRPr="005C3411">
        <w:t xml:space="preserve"> </w:t>
      </w:r>
      <w:r w:rsidR="00D60DA5">
        <w:t>17,77</w:t>
      </w:r>
      <w:r w:rsidRPr="005C3411">
        <w:t xml:space="preserve">% </w:t>
      </w:r>
      <w:proofErr w:type="spellStart"/>
      <w:r w:rsidRPr="005C3411">
        <w:t>ili</w:t>
      </w:r>
      <w:proofErr w:type="spellEnd"/>
      <w:r w:rsidRPr="005C3411">
        <w:t xml:space="preserve"> </w:t>
      </w:r>
      <w:r w:rsidR="00D60DA5">
        <w:t>1.338.825</w:t>
      </w:r>
      <w:r w:rsidRPr="005C3411">
        <w:t xml:space="preserve"> KM </w:t>
      </w:r>
      <w:proofErr w:type="spellStart"/>
      <w:r>
        <w:t>financirano</w:t>
      </w:r>
      <w:proofErr w:type="spellEnd"/>
      <w:r w:rsidRPr="005C3411">
        <w:t xml:space="preserve"> </w:t>
      </w:r>
      <w:proofErr w:type="spellStart"/>
      <w:r w:rsidRPr="005C3411">
        <w:t>iz</w:t>
      </w:r>
      <w:proofErr w:type="spellEnd"/>
      <w:r w:rsidRPr="005C3411">
        <w:t xml:space="preserve"> </w:t>
      </w:r>
      <w:proofErr w:type="spellStart"/>
      <w:r w:rsidRPr="005C3411">
        <w:t>ostalih</w:t>
      </w:r>
      <w:proofErr w:type="spellEnd"/>
      <w:r w:rsidRPr="005C3411">
        <w:t xml:space="preserve"> </w:t>
      </w:r>
      <w:proofErr w:type="spellStart"/>
      <w:r w:rsidRPr="005C3411">
        <w:t>izvora</w:t>
      </w:r>
      <w:proofErr w:type="spellEnd"/>
      <w:r w:rsidRPr="005C3411">
        <w:t xml:space="preserve"> (</w:t>
      </w:r>
      <w:proofErr w:type="spellStart"/>
      <w:r w:rsidRPr="005C3411">
        <w:t>namjenski</w:t>
      </w:r>
      <w:proofErr w:type="spellEnd"/>
      <w:r w:rsidRPr="005C3411">
        <w:t xml:space="preserve"> </w:t>
      </w:r>
      <w:proofErr w:type="spellStart"/>
      <w:r w:rsidRPr="005C3411"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transferi</w:t>
      </w:r>
      <w:proofErr w:type="spellEnd"/>
      <w:r w:rsidRPr="005C3411">
        <w:t>).</w:t>
      </w:r>
    </w:p>
    <w:p w:rsidR="009B5283" w:rsidRDefault="009B5283" w:rsidP="00AD16F2">
      <w:pPr>
        <w:pStyle w:val="Uvuenotijeloteksta"/>
        <w:spacing w:line="240" w:lineRule="auto"/>
        <w:ind w:firstLine="0"/>
      </w:pPr>
    </w:p>
    <w:p w:rsidR="00AD16F2" w:rsidRDefault="009B5283" w:rsidP="00AD16F2">
      <w:pPr>
        <w:pStyle w:val="Uvuenotijeloteksta"/>
        <w:spacing w:line="240" w:lineRule="auto"/>
        <w:ind w:firstLine="0"/>
      </w:pPr>
      <w:r w:rsidRPr="007258BD">
        <w:t>U razdoblju siječanj-</w:t>
      </w:r>
      <w:r w:rsidR="00D60DA5" w:rsidRPr="007258BD">
        <w:t>rujan</w:t>
      </w:r>
      <w:r w:rsidR="00E65F64" w:rsidRPr="007258BD">
        <w:t xml:space="preserve"> 20</w:t>
      </w:r>
      <w:r w:rsidR="00797628" w:rsidRPr="007258BD">
        <w:t>20</w:t>
      </w:r>
      <w:r w:rsidRPr="007258BD">
        <w:t>.</w:t>
      </w:r>
      <w:r w:rsidR="00C06951" w:rsidRPr="007258BD">
        <w:t xml:space="preserve"> </w:t>
      </w:r>
      <w:r w:rsidRPr="007258BD">
        <w:t xml:space="preserve">na </w:t>
      </w:r>
      <w:r w:rsidRPr="007258BD">
        <w:rPr>
          <w:b/>
        </w:rPr>
        <w:t>k</w:t>
      </w:r>
      <w:r w:rsidR="00AD16F2" w:rsidRPr="007258BD">
        <w:rPr>
          <w:b/>
        </w:rPr>
        <w:t>apitaln</w:t>
      </w:r>
      <w:r w:rsidRPr="007258BD">
        <w:rPr>
          <w:b/>
        </w:rPr>
        <w:t>e</w:t>
      </w:r>
      <w:r w:rsidR="00E65F64" w:rsidRPr="007258BD">
        <w:rPr>
          <w:b/>
        </w:rPr>
        <w:t xml:space="preserve"> </w:t>
      </w:r>
      <w:proofErr w:type="spellStart"/>
      <w:r w:rsidR="00AD16F2" w:rsidRPr="007258BD">
        <w:rPr>
          <w:b/>
        </w:rPr>
        <w:t>grantov</w:t>
      </w:r>
      <w:r w:rsidRPr="007258BD">
        <w:rPr>
          <w:b/>
        </w:rPr>
        <w:t>e</w:t>
      </w:r>
      <w:proofErr w:type="spellEnd"/>
      <w:r w:rsidR="00AD16F2" w:rsidRPr="007258BD">
        <w:rPr>
          <w:b/>
        </w:rPr>
        <w:t xml:space="preserve"> (potkategorija 615000)</w:t>
      </w:r>
      <w:r w:rsidR="007258BD">
        <w:t xml:space="preserve"> potrošeno je 4.000 KM u okviru Kapitalnog granta za vodoprivredu (pozicija 615100) pri Ministarstvu poljoprivrede, vodoprivrede i šumarstva Županije Posavske. Obzirom na ukupan plan kapitalnih </w:t>
      </w:r>
      <w:proofErr w:type="spellStart"/>
      <w:r w:rsidR="007258BD">
        <w:t>grantova</w:t>
      </w:r>
      <w:proofErr w:type="spellEnd"/>
      <w:r w:rsidR="007258BD">
        <w:t xml:space="preserve"> u 2020. godini izvršenje iznosi samo 1,43%. U istom razdoblju prethodne godine nije bilo potrošnje na kapitalne </w:t>
      </w:r>
      <w:proofErr w:type="spellStart"/>
      <w:r w:rsidR="007258BD">
        <w:t>grantove</w:t>
      </w:r>
      <w:proofErr w:type="spellEnd"/>
      <w:r w:rsidR="007258BD">
        <w:t>.</w:t>
      </w:r>
    </w:p>
    <w:p w:rsidR="00AD16F2" w:rsidRDefault="00AD16F2" w:rsidP="00AD16F2">
      <w:pPr>
        <w:pStyle w:val="Uvuenotijeloteksta"/>
        <w:spacing w:line="240" w:lineRule="auto"/>
        <w:ind w:firstLine="0"/>
      </w:pPr>
    </w:p>
    <w:p w:rsidR="00031E60" w:rsidRDefault="00AD16F2" w:rsidP="00AD16F2">
      <w:pPr>
        <w:pStyle w:val="Uvuenotijeloteksta"/>
        <w:spacing w:line="240" w:lineRule="auto"/>
        <w:ind w:firstLine="0"/>
      </w:pPr>
      <w:r w:rsidRPr="00E51946">
        <w:rPr>
          <w:b/>
        </w:rPr>
        <w:t>Izdaci za kamate (potkategorija 616000)</w:t>
      </w:r>
      <w:r w:rsidRPr="00E51946">
        <w:t xml:space="preserve"> ostvareni su u visini </w:t>
      </w:r>
      <w:r w:rsidR="007258BD">
        <w:t>36.512</w:t>
      </w:r>
      <w:r w:rsidRPr="00E51946">
        <w:t xml:space="preserve"> KM  ili </w:t>
      </w:r>
      <w:r w:rsidR="007258BD">
        <w:t>81,66</w:t>
      </w:r>
      <w:r w:rsidRPr="00E51946">
        <w:t xml:space="preserve">% ukupno planiranih izdataka po ovoj namjeni, a </w:t>
      </w:r>
      <w:r w:rsidRPr="00E51946">
        <w:rPr>
          <w:lang w:val="hr-BA"/>
        </w:rPr>
        <w:t xml:space="preserve">odnose se na </w:t>
      </w:r>
      <w:r w:rsidR="00797628" w:rsidRPr="00E51946">
        <w:rPr>
          <w:lang w:val="hr-BA"/>
        </w:rPr>
        <w:t xml:space="preserve">trošak Ministarstva financija Županije Posavske odnosno </w:t>
      </w:r>
      <w:r w:rsidR="003B0FC6" w:rsidRPr="00E51946">
        <w:rPr>
          <w:lang w:val="hr-BA"/>
        </w:rPr>
        <w:t>otplatu</w:t>
      </w:r>
      <w:r w:rsidR="00797628" w:rsidRPr="00E51946">
        <w:t xml:space="preserve"> kamate na </w:t>
      </w:r>
      <w:r w:rsidR="003B0FC6" w:rsidRPr="00E51946">
        <w:t xml:space="preserve">kredit </w:t>
      </w:r>
      <w:proofErr w:type="spellStart"/>
      <w:r w:rsidR="003B0FC6" w:rsidRPr="00E51946">
        <w:t>Export</w:t>
      </w:r>
      <w:proofErr w:type="spellEnd"/>
      <w:r w:rsidR="003B0FC6" w:rsidRPr="00E51946">
        <w:t xml:space="preserve">-Import banke Koreja za financiranje Faze II Projekta „Modernizacija bolnica u Bosni i Hercegovini“ u iznosu od </w:t>
      </w:r>
      <w:r w:rsidR="007258BD">
        <w:t>18.802</w:t>
      </w:r>
      <w:r w:rsidR="003B0FC6" w:rsidRPr="00E51946">
        <w:t xml:space="preserve"> KM, i kamate na kredit </w:t>
      </w:r>
      <w:proofErr w:type="spellStart"/>
      <w:r w:rsidR="003B0FC6" w:rsidRPr="00E51946">
        <w:t>UniCredit</w:t>
      </w:r>
      <w:proofErr w:type="spellEnd"/>
      <w:r w:rsidR="003B0FC6" w:rsidRPr="00E51946">
        <w:t xml:space="preserve"> bank </w:t>
      </w:r>
      <w:proofErr w:type="spellStart"/>
      <w:r w:rsidR="003B0FC6" w:rsidRPr="00E51946">
        <w:t>Austria</w:t>
      </w:r>
      <w:proofErr w:type="spellEnd"/>
      <w:r w:rsidR="003B0FC6" w:rsidRPr="00E51946">
        <w:t xml:space="preserve"> AG za financiranje projekta nabave, instalacije, obuke i održavanja medicinske i nemedicinske opreme i uslu</w:t>
      </w:r>
      <w:r w:rsidR="00E51946" w:rsidRPr="00E51946">
        <w:t xml:space="preserve">ga u Županijskoj bolnici Orašje u iznosu od </w:t>
      </w:r>
      <w:r w:rsidR="007258BD">
        <w:t>17.710</w:t>
      </w:r>
      <w:r w:rsidR="00E51946" w:rsidRPr="00E51946">
        <w:t xml:space="preserve"> KM.</w:t>
      </w:r>
      <w:r w:rsidR="00031E60">
        <w:t xml:space="preserve"> </w:t>
      </w:r>
    </w:p>
    <w:p w:rsidR="00031E60" w:rsidRDefault="00031E60" w:rsidP="00AD16F2">
      <w:pPr>
        <w:pStyle w:val="Uvuenotijeloteksta"/>
        <w:spacing w:line="240" w:lineRule="auto"/>
        <w:ind w:firstLine="0"/>
      </w:pPr>
    </w:p>
    <w:p w:rsidR="00031E60" w:rsidRDefault="003B1855" w:rsidP="00AD16F2">
      <w:pPr>
        <w:pStyle w:val="Uvuenotijeloteksta"/>
        <w:spacing w:line="240" w:lineRule="auto"/>
        <w:ind w:firstLine="0"/>
        <w:rPr>
          <w:szCs w:val="22"/>
        </w:rPr>
      </w:pPr>
      <w:r>
        <w:lastRenderedPageBreak/>
        <w:t>Od usvajanja Izmjena</w:t>
      </w:r>
      <w:r>
        <w:rPr>
          <w:szCs w:val="22"/>
        </w:rPr>
        <w:t xml:space="preserve"> i dopuna Proračuna </w:t>
      </w:r>
      <w:r>
        <w:t xml:space="preserve">Županije Posavske </w:t>
      </w:r>
      <w:r>
        <w:rPr>
          <w:szCs w:val="22"/>
        </w:rPr>
        <w:t xml:space="preserve">za 2020. godinu </w:t>
      </w:r>
      <w:r>
        <w:t>izvršene su</w:t>
      </w:r>
      <w:r>
        <w:rPr>
          <w:szCs w:val="22"/>
        </w:rPr>
        <w:t xml:space="preserve"> izmjene u </w:t>
      </w:r>
      <w:r>
        <w:t xml:space="preserve">planiranju i </w:t>
      </w:r>
      <w:r>
        <w:rPr>
          <w:szCs w:val="22"/>
        </w:rPr>
        <w:t xml:space="preserve">računovodstvenom evidentiranju </w:t>
      </w:r>
      <w:r>
        <w:t>izdataka za kamate</w:t>
      </w:r>
      <w:r>
        <w:rPr>
          <w:szCs w:val="22"/>
        </w:rPr>
        <w:t>, pa se otplate kamata</w:t>
      </w:r>
      <w:r w:rsidR="00031E60">
        <w:t xml:space="preserve"> planiraju i</w:t>
      </w:r>
      <w:r>
        <w:rPr>
          <w:szCs w:val="22"/>
        </w:rPr>
        <w:t xml:space="preserve"> </w:t>
      </w:r>
      <w:r>
        <w:t xml:space="preserve">izvršavaju </w:t>
      </w:r>
      <w:r>
        <w:rPr>
          <w:szCs w:val="22"/>
        </w:rPr>
        <w:t>na pozicijama 616</w:t>
      </w:r>
      <w:r>
        <w:t>200 – Izdaci za inozemne kamate.</w:t>
      </w:r>
      <w:r>
        <w:rPr>
          <w:szCs w:val="22"/>
        </w:rPr>
        <w:t xml:space="preserve"> </w:t>
      </w:r>
    </w:p>
    <w:p w:rsidR="00031E60" w:rsidRDefault="00031E60" w:rsidP="00AD16F2">
      <w:pPr>
        <w:pStyle w:val="Uvuenotijeloteksta"/>
        <w:spacing w:line="240" w:lineRule="auto"/>
        <w:ind w:firstLine="0"/>
        <w:rPr>
          <w:szCs w:val="22"/>
        </w:rPr>
      </w:pPr>
    </w:p>
    <w:p w:rsidR="00AD16F2" w:rsidRDefault="00AD16F2" w:rsidP="00AD16F2">
      <w:pPr>
        <w:pStyle w:val="Uvuenotijeloteksta"/>
        <w:spacing w:line="240" w:lineRule="auto"/>
        <w:ind w:firstLine="0"/>
      </w:pPr>
      <w:r w:rsidRPr="00031E60">
        <w:t>U odnosu na isto razdoblje 201</w:t>
      </w:r>
      <w:r w:rsidR="00797628" w:rsidRPr="00031E60">
        <w:t>9</w:t>
      </w:r>
      <w:r w:rsidRPr="00031E60">
        <w:t>. godine izdaci za kamate i ostale naknade su u razdoblju 01.01.-</w:t>
      </w:r>
      <w:r w:rsidR="00031E60" w:rsidRPr="00031E60">
        <w:t>30</w:t>
      </w:r>
      <w:r w:rsidRPr="00031E60">
        <w:t>.0</w:t>
      </w:r>
      <w:r w:rsidR="007258BD">
        <w:t>9</w:t>
      </w:r>
      <w:r w:rsidRPr="00031E60">
        <w:t>.20</w:t>
      </w:r>
      <w:r w:rsidR="00797628" w:rsidRPr="00031E60">
        <w:t>20</w:t>
      </w:r>
      <w:r w:rsidRPr="00031E60">
        <w:t xml:space="preserve">. godine </w:t>
      </w:r>
      <w:r w:rsidR="00031E60" w:rsidRPr="00031E60">
        <w:t>manji</w:t>
      </w:r>
      <w:r w:rsidR="00DE5481" w:rsidRPr="00031E60">
        <w:t xml:space="preserve"> </w:t>
      </w:r>
      <w:r w:rsidRPr="00031E60">
        <w:t xml:space="preserve">za </w:t>
      </w:r>
      <w:r w:rsidR="007258BD">
        <w:t>8.629</w:t>
      </w:r>
      <w:r w:rsidR="00E344FF" w:rsidRPr="00031E60">
        <w:t xml:space="preserve"> KM</w:t>
      </w:r>
      <w:r w:rsidR="00031E60">
        <w:t xml:space="preserve">, odnosno manji </w:t>
      </w:r>
      <w:r w:rsidR="007258BD">
        <w:t>19,12</w:t>
      </w:r>
      <w:r w:rsidR="00031E60">
        <w:t>%.</w:t>
      </w:r>
      <w:r w:rsidR="005A6EA1">
        <w:t xml:space="preserve"> </w:t>
      </w:r>
    </w:p>
    <w:p w:rsidR="007258BD" w:rsidRDefault="007258BD" w:rsidP="00AD16F2">
      <w:pPr>
        <w:pStyle w:val="Uvuenotijeloteksta"/>
        <w:spacing w:line="240" w:lineRule="auto"/>
        <w:ind w:firstLine="0"/>
      </w:pPr>
    </w:p>
    <w:p w:rsidR="00374308" w:rsidRDefault="00374308" w:rsidP="00AD16F2">
      <w:pPr>
        <w:pStyle w:val="Uvuenotijeloteksta"/>
        <w:spacing w:line="240" w:lineRule="auto"/>
        <w:ind w:firstLine="0"/>
      </w:pPr>
    </w:p>
    <w:p w:rsidR="009B5283" w:rsidRPr="00617F28" w:rsidRDefault="009B5283" w:rsidP="00122F5D">
      <w:pPr>
        <w:jc w:val="both"/>
        <w:rPr>
          <w:b/>
          <w:szCs w:val="24"/>
        </w:rPr>
      </w:pPr>
      <w:r>
        <w:rPr>
          <w:b/>
          <w:szCs w:val="24"/>
        </w:rPr>
        <w:t>3</w:t>
      </w:r>
      <w:r w:rsidRPr="00617F28">
        <w:rPr>
          <w:b/>
          <w:szCs w:val="24"/>
        </w:rPr>
        <w:tab/>
      </w:r>
      <w:r>
        <w:rPr>
          <w:b/>
          <w:szCs w:val="24"/>
        </w:rPr>
        <w:t>TEKUĆA BILANCA</w:t>
      </w:r>
    </w:p>
    <w:p w:rsidR="00AD16F2" w:rsidRDefault="00AD16F2" w:rsidP="00122F5D">
      <w:pPr>
        <w:pStyle w:val="Uvuenotijeloteksta"/>
        <w:spacing w:before="120" w:line="240" w:lineRule="auto"/>
        <w:ind w:firstLine="0"/>
        <w:rPr>
          <w:b/>
          <w:bCs/>
          <w:i/>
        </w:rPr>
      </w:pPr>
    </w:p>
    <w:p w:rsidR="009B5283" w:rsidRDefault="007C2BF5" w:rsidP="00122F5D">
      <w:pPr>
        <w:pStyle w:val="Uvuenotijeloteksta"/>
        <w:spacing w:line="240" w:lineRule="auto"/>
        <w:ind w:firstLine="0"/>
      </w:pPr>
      <w:r>
        <w:t>Obzirom da je u</w:t>
      </w:r>
      <w:r w:rsidR="00E469BF">
        <w:t xml:space="preserve"> razdoblju 01.01.-</w:t>
      </w:r>
      <w:r w:rsidR="00031E60">
        <w:t>30</w:t>
      </w:r>
      <w:r w:rsidR="00E469BF">
        <w:t>.0</w:t>
      </w:r>
      <w:r w:rsidR="007258BD">
        <w:t>9</w:t>
      </w:r>
      <w:r w:rsidR="00E469BF">
        <w:t>.20</w:t>
      </w:r>
      <w:r w:rsidR="00797628">
        <w:t>20</w:t>
      </w:r>
      <w:r w:rsidR="00E469BF">
        <w:t>. godine</w:t>
      </w:r>
      <w:r>
        <w:t xml:space="preserve"> ostvareno </w:t>
      </w:r>
      <w:r w:rsidR="007258BD">
        <w:t>35.912.664</w:t>
      </w:r>
      <w:r>
        <w:t xml:space="preserve"> KM proračunskih prihoda, te izvršeno </w:t>
      </w:r>
      <w:r w:rsidR="007258BD">
        <w:t>27.868.531</w:t>
      </w:r>
      <w:r>
        <w:t xml:space="preserve"> KM proračunskih rashoda,</w:t>
      </w:r>
      <w:r w:rsidR="00E469BF">
        <w:t xml:space="preserve"> Proračun Županije Posavske je ostvario tekući suficit u iznosu od </w:t>
      </w:r>
      <w:r w:rsidR="007258BD">
        <w:t>8.044.133</w:t>
      </w:r>
      <w:r w:rsidR="00E469BF">
        <w:t xml:space="preserve"> KM.</w:t>
      </w:r>
    </w:p>
    <w:p w:rsidR="00E469BF" w:rsidRDefault="00E469BF" w:rsidP="00122F5D">
      <w:pPr>
        <w:widowControl/>
        <w:jc w:val="center"/>
        <w:rPr>
          <w:rFonts w:eastAsia="Times New Roman"/>
          <w:szCs w:val="24"/>
        </w:rPr>
      </w:pPr>
      <w:r>
        <w:rPr>
          <w:rFonts w:eastAsia="Times New Roman"/>
          <w:noProof/>
          <w:szCs w:val="24"/>
          <w:lang w:eastAsia="hr-HR"/>
        </w:rPr>
        <w:drawing>
          <wp:inline distT="0" distB="0" distL="0" distR="0">
            <wp:extent cx="5044141" cy="2223247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469BF" w:rsidRDefault="00E469BF" w:rsidP="00122F5D">
      <w:pPr>
        <w:pStyle w:val="Uvuenotijeloteksta"/>
        <w:spacing w:line="240" w:lineRule="auto"/>
        <w:ind w:firstLine="0"/>
        <w:rPr>
          <w:lang w:val="hr-BA"/>
        </w:rPr>
      </w:pPr>
    </w:p>
    <w:p w:rsidR="00E469BF" w:rsidRDefault="00E469BF" w:rsidP="00E469BF">
      <w:pPr>
        <w:jc w:val="both"/>
        <w:rPr>
          <w:b/>
          <w:szCs w:val="24"/>
        </w:rPr>
      </w:pPr>
    </w:p>
    <w:p w:rsidR="00E469BF" w:rsidRPr="00617F28" w:rsidRDefault="00E469BF" w:rsidP="00E469BF">
      <w:pPr>
        <w:jc w:val="both"/>
        <w:rPr>
          <w:b/>
          <w:szCs w:val="24"/>
        </w:rPr>
      </w:pPr>
      <w:r w:rsidRPr="00797628">
        <w:rPr>
          <w:b/>
          <w:szCs w:val="24"/>
        </w:rPr>
        <w:t>4</w:t>
      </w:r>
      <w:r w:rsidRPr="00797628">
        <w:rPr>
          <w:b/>
          <w:szCs w:val="24"/>
        </w:rPr>
        <w:tab/>
        <w:t>PRIMICI OD PRODAJE NEFINANCIJSKE IMOVINE</w:t>
      </w:r>
    </w:p>
    <w:p w:rsidR="009B5283" w:rsidRDefault="009B5283" w:rsidP="009554E4">
      <w:pPr>
        <w:pStyle w:val="Uvuenotijeloteksta"/>
        <w:spacing w:before="120" w:line="240" w:lineRule="auto"/>
        <w:ind w:firstLine="0"/>
        <w:rPr>
          <w:b/>
          <w:bCs/>
          <w:i/>
        </w:rPr>
      </w:pPr>
    </w:p>
    <w:p w:rsidR="00404D88" w:rsidRDefault="00E469BF" w:rsidP="009554E4">
      <w:pPr>
        <w:pStyle w:val="Uvuenotijeloteksta"/>
        <w:spacing w:line="240" w:lineRule="auto"/>
        <w:ind w:firstLine="0"/>
      </w:pPr>
      <w:r>
        <w:t>U razdoblju 01.01.-</w:t>
      </w:r>
      <w:r w:rsidR="00031E60">
        <w:t>30</w:t>
      </w:r>
      <w:r>
        <w:t>.0</w:t>
      </w:r>
      <w:r w:rsidR="004E3904">
        <w:t>9</w:t>
      </w:r>
      <w:r>
        <w:t>.20</w:t>
      </w:r>
      <w:r w:rsidR="00C27F17">
        <w:t>20</w:t>
      </w:r>
      <w:r>
        <w:t xml:space="preserve">. godine </w:t>
      </w:r>
      <w:r w:rsidR="00C27F17">
        <w:t xml:space="preserve">realizirano je </w:t>
      </w:r>
      <w:r w:rsidR="00031E60">
        <w:t>6.113</w:t>
      </w:r>
      <w:r w:rsidR="00404D88">
        <w:t xml:space="preserve"> KM primitaka</w:t>
      </w:r>
      <w:r w:rsidR="00031E60">
        <w:t xml:space="preserve"> od prodaje nefinancijske imovine što je 5,94% više od ukupnog plana za 2020. godinu, odnosno 343 KM više. Realizirani primici se odnose na</w:t>
      </w:r>
      <w:r w:rsidR="00404D88">
        <w:t>:</w:t>
      </w:r>
    </w:p>
    <w:p w:rsidR="00404D88" w:rsidRDefault="00031E60" w:rsidP="00404D88">
      <w:pPr>
        <w:pStyle w:val="Uvuenotijeloteksta"/>
        <w:numPr>
          <w:ilvl w:val="0"/>
          <w:numId w:val="32"/>
        </w:numPr>
        <w:spacing w:line="240" w:lineRule="auto"/>
      </w:pPr>
      <w:r>
        <w:t>primitke</w:t>
      </w:r>
      <w:r w:rsidR="00404D88">
        <w:t xml:space="preserve"> od prodaje </w:t>
      </w:r>
      <w:r w:rsidR="00C27F17">
        <w:t>prometnih vozila</w:t>
      </w:r>
      <w:r w:rsidR="00404D88">
        <w:t xml:space="preserve"> proračunskog korisnika </w:t>
      </w:r>
      <w:r w:rsidR="00C27F17">
        <w:t>Ministarstvo poljoprivrede, vodoprivrede i šumarstva</w:t>
      </w:r>
      <w:r w:rsidR="00404D88">
        <w:t xml:space="preserve"> </w:t>
      </w:r>
      <w:r w:rsidR="00C27F17">
        <w:t xml:space="preserve">Županije Posavske </w:t>
      </w:r>
      <w:r w:rsidR="00404D88">
        <w:t xml:space="preserve">u iznosu od </w:t>
      </w:r>
      <w:r w:rsidR="00C27F17">
        <w:t>2.</w:t>
      </w:r>
      <w:r>
        <w:t>600</w:t>
      </w:r>
      <w:r w:rsidR="00404D88">
        <w:t xml:space="preserve"> KM, te</w:t>
      </w:r>
    </w:p>
    <w:p w:rsidR="00404D88" w:rsidRDefault="00404D88" w:rsidP="00404D88">
      <w:pPr>
        <w:pStyle w:val="Uvuenotijeloteksta"/>
        <w:numPr>
          <w:ilvl w:val="0"/>
          <w:numId w:val="32"/>
        </w:numPr>
        <w:spacing w:line="240" w:lineRule="auto"/>
      </w:pPr>
      <w:r>
        <w:t xml:space="preserve">primici od prodaje prometnih vozila proračunskog korisnika </w:t>
      </w:r>
      <w:r w:rsidR="00C27F17">
        <w:t>Zajednička služba Vlade Županije Posavske</w:t>
      </w:r>
      <w:r>
        <w:t xml:space="preserve"> u iznosu od </w:t>
      </w:r>
      <w:r w:rsidR="00C27F17">
        <w:t>3.513</w:t>
      </w:r>
      <w:r>
        <w:t xml:space="preserve"> KM.</w:t>
      </w:r>
    </w:p>
    <w:p w:rsidR="00DE5481" w:rsidRDefault="007C2BF5" w:rsidP="00404D88">
      <w:pPr>
        <w:pStyle w:val="Uvuenotijeloteksta"/>
        <w:spacing w:line="240" w:lineRule="auto"/>
        <w:ind w:firstLine="0"/>
      </w:pPr>
      <w:r>
        <w:t>U istom razdoblju fiskalne 201</w:t>
      </w:r>
      <w:r w:rsidR="00C27F17">
        <w:t>9</w:t>
      </w:r>
      <w:r>
        <w:t xml:space="preserve">. godine </w:t>
      </w:r>
      <w:r w:rsidR="004E3904">
        <w:t>primici</w:t>
      </w:r>
      <w:r>
        <w:t xml:space="preserve"> od prodaje nefinancijske imovine</w:t>
      </w:r>
      <w:r w:rsidR="004E3904">
        <w:t xml:space="preserve"> iznosili su 5.436 KM, pa je realizirano 12,45% ili 677 KM više primitaka</w:t>
      </w:r>
      <w:r>
        <w:t>.</w:t>
      </w:r>
    </w:p>
    <w:p w:rsidR="00BF5A54" w:rsidRDefault="00BF5A54" w:rsidP="009554E4">
      <w:pPr>
        <w:pStyle w:val="Uvuenotijeloteksta"/>
        <w:spacing w:line="240" w:lineRule="auto"/>
        <w:ind w:firstLine="0"/>
      </w:pPr>
    </w:p>
    <w:p w:rsidR="002E45F0" w:rsidRDefault="002E45F0" w:rsidP="00C4240E">
      <w:pPr>
        <w:pStyle w:val="Uvuenotijeloteksta"/>
        <w:spacing w:line="240" w:lineRule="auto"/>
        <w:ind w:firstLine="0"/>
      </w:pPr>
    </w:p>
    <w:p w:rsidR="00E469BF" w:rsidRPr="00617F28" w:rsidRDefault="00E469BF" w:rsidP="00E469BF">
      <w:pPr>
        <w:jc w:val="both"/>
        <w:rPr>
          <w:b/>
          <w:szCs w:val="24"/>
        </w:rPr>
      </w:pPr>
      <w:r w:rsidRPr="00547F14">
        <w:rPr>
          <w:b/>
          <w:szCs w:val="24"/>
        </w:rPr>
        <w:t>5</w:t>
      </w:r>
      <w:r w:rsidRPr="00547F14">
        <w:rPr>
          <w:b/>
          <w:szCs w:val="24"/>
        </w:rPr>
        <w:tab/>
        <w:t>IZDACI ZA NABAVKU NEFINANCIJSKE IMOVINE</w:t>
      </w:r>
    </w:p>
    <w:p w:rsidR="00E469BF" w:rsidRDefault="00E469BF" w:rsidP="00E469BF">
      <w:pPr>
        <w:pStyle w:val="Uvuenotijeloteksta"/>
        <w:spacing w:before="120" w:line="240" w:lineRule="auto"/>
        <w:ind w:firstLine="0"/>
        <w:rPr>
          <w:b/>
          <w:bCs/>
          <w:i/>
        </w:rPr>
      </w:pPr>
    </w:p>
    <w:p w:rsidR="00E469BF" w:rsidRDefault="00E469BF" w:rsidP="00E469BF">
      <w:pPr>
        <w:pStyle w:val="Uvuenotijeloteksta"/>
        <w:spacing w:line="240" w:lineRule="auto"/>
        <w:ind w:firstLine="0"/>
      </w:pPr>
      <w:r>
        <w:t xml:space="preserve">Izdaci za nabavku nefinancijske imovine odnosno izdaci za nabavku stalnih sredstava (potkategorija 821000) ostvareni su u iznosu od </w:t>
      </w:r>
      <w:r w:rsidR="004E3904">
        <w:t>906.893</w:t>
      </w:r>
      <w:r w:rsidR="00E344FF">
        <w:t xml:space="preserve"> KM,</w:t>
      </w:r>
      <w:r>
        <w:t xml:space="preserve"> što je </w:t>
      </w:r>
      <w:r w:rsidR="004E3904">
        <w:t>45,03</w:t>
      </w:r>
      <w:r>
        <w:t>% u odnosu na planirana sredstva. U odnosu na 201</w:t>
      </w:r>
      <w:r w:rsidR="00797628">
        <w:t>9</w:t>
      </w:r>
      <w:r>
        <w:t xml:space="preserve">. godinu ovi izdaci su u apsolutnom iznosu </w:t>
      </w:r>
      <w:r w:rsidR="00031E60">
        <w:t>veći</w:t>
      </w:r>
      <w:r>
        <w:t xml:space="preserve"> za </w:t>
      </w:r>
      <w:r w:rsidR="004E3904">
        <w:t>661.168</w:t>
      </w:r>
      <w:r>
        <w:t xml:space="preserve"> KM</w:t>
      </w:r>
      <w:r w:rsidR="00031E60">
        <w:t xml:space="preserve">. </w:t>
      </w:r>
      <w:r>
        <w:t>Slijedi tablični i grafički prikaz strukture izvršenih izdataka za nabavku stalnih sredstava u razdoblju 01.01.-</w:t>
      </w:r>
      <w:r w:rsidR="00031E60">
        <w:t>30</w:t>
      </w:r>
      <w:r>
        <w:t>.0</w:t>
      </w:r>
      <w:r w:rsidR="004E3904">
        <w:t>9</w:t>
      </w:r>
      <w:r>
        <w:t>.20</w:t>
      </w:r>
      <w:r w:rsidR="00797628">
        <w:t>20</w:t>
      </w:r>
      <w:r>
        <w:t>. godine.</w:t>
      </w:r>
    </w:p>
    <w:p w:rsidR="002E45F0" w:rsidRDefault="002E45F0" w:rsidP="00E469BF">
      <w:pPr>
        <w:jc w:val="both"/>
        <w:rPr>
          <w:sz w:val="20"/>
          <w:szCs w:val="20"/>
        </w:rPr>
      </w:pPr>
    </w:p>
    <w:p w:rsidR="00374308" w:rsidRDefault="00374308" w:rsidP="00E469BF">
      <w:pPr>
        <w:jc w:val="both"/>
        <w:rPr>
          <w:sz w:val="20"/>
          <w:szCs w:val="20"/>
        </w:rPr>
      </w:pPr>
    </w:p>
    <w:p w:rsidR="00E469BF" w:rsidRPr="00FD3224" w:rsidRDefault="00E469BF" w:rsidP="00E469BF">
      <w:pPr>
        <w:jc w:val="both"/>
        <w:rPr>
          <w:sz w:val="20"/>
          <w:szCs w:val="20"/>
        </w:rPr>
      </w:pPr>
      <w:r w:rsidRPr="00FD3224">
        <w:rPr>
          <w:sz w:val="20"/>
          <w:szCs w:val="20"/>
        </w:rPr>
        <w:lastRenderedPageBreak/>
        <w:t xml:space="preserve">Tablica </w:t>
      </w:r>
      <w:r w:rsidR="00A832B5">
        <w:rPr>
          <w:sz w:val="20"/>
          <w:szCs w:val="20"/>
        </w:rPr>
        <w:t>13</w:t>
      </w:r>
      <w:r w:rsidRPr="00FD3224">
        <w:rPr>
          <w:sz w:val="20"/>
          <w:szCs w:val="20"/>
        </w:rPr>
        <w:t xml:space="preserve">. Struktura </w:t>
      </w:r>
      <w:r>
        <w:rPr>
          <w:sz w:val="20"/>
          <w:szCs w:val="20"/>
        </w:rPr>
        <w:t>izvršenih izdataka za nabavku stalnih sredstava</w:t>
      </w:r>
      <w:r w:rsidRPr="00FD3224">
        <w:rPr>
          <w:sz w:val="20"/>
          <w:szCs w:val="20"/>
        </w:rPr>
        <w:t xml:space="preserve"> u </w:t>
      </w:r>
      <w:r>
        <w:rPr>
          <w:sz w:val="20"/>
          <w:szCs w:val="20"/>
        </w:rPr>
        <w:t>razdoblju 01.01.-</w:t>
      </w:r>
      <w:r w:rsidR="00031E60">
        <w:rPr>
          <w:sz w:val="20"/>
          <w:szCs w:val="20"/>
        </w:rPr>
        <w:t>30</w:t>
      </w:r>
      <w:r>
        <w:rPr>
          <w:sz w:val="20"/>
          <w:szCs w:val="20"/>
        </w:rPr>
        <w:t>.0</w:t>
      </w:r>
      <w:r w:rsidR="004E3904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Pr="00FD3224">
        <w:rPr>
          <w:sz w:val="20"/>
          <w:szCs w:val="20"/>
        </w:rPr>
        <w:t>20</w:t>
      </w:r>
      <w:r w:rsidR="00797628">
        <w:rPr>
          <w:sz w:val="20"/>
          <w:szCs w:val="20"/>
        </w:rPr>
        <w:t>20</w:t>
      </w:r>
      <w:r w:rsidRPr="00FD3224">
        <w:rPr>
          <w:sz w:val="20"/>
          <w:szCs w:val="20"/>
        </w:rPr>
        <w:t>. g</w:t>
      </w:r>
      <w:r>
        <w:rPr>
          <w:sz w:val="20"/>
          <w:szCs w:val="20"/>
        </w:rPr>
        <w:t>odine</w:t>
      </w:r>
    </w:p>
    <w:tbl>
      <w:tblPr>
        <w:tblStyle w:val="Srednjipopis21"/>
        <w:tblW w:w="0" w:type="auto"/>
        <w:tblLook w:val="04A0"/>
      </w:tblPr>
      <w:tblGrid>
        <w:gridCol w:w="4503"/>
        <w:gridCol w:w="3260"/>
        <w:gridCol w:w="1525"/>
      </w:tblGrid>
      <w:tr w:rsidR="00E469BF" w:rsidRPr="00A15A60" w:rsidTr="000404AD">
        <w:trPr>
          <w:cnfStyle w:val="100000000000"/>
        </w:trPr>
        <w:tc>
          <w:tcPr>
            <w:cnfStyle w:val="001000000100"/>
            <w:tcW w:w="4503" w:type="dxa"/>
            <w:vAlign w:val="center"/>
          </w:tcPr>
          <w:p w:rsidR="00E469BF" w:rsidRPr="00A15A60" w:rsidRDefault="00E469BF" w:rsidP="000404AD">
            <w:pPr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OPIS</w:t>
            </w:r>
          </w:p>
        </w:tc>
        <w:tc>
          <w:tcPr>
            <w:tcW w:w="3260" w:type="dxa"/>
          </w:tcPr>
          <w:p w:rsidR="00E469BF" w:rsidRPr="00A15A60" w:rsidRDefault="00E469BF" w:rsidP="000404AD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Ostvareno</w:t>
            </w:r>
          </w:p>
          <w:p w:rsidR="00E469BF" w:rsidRPr="00A15A60" w:rsidRDefault="00E469BF" w:rsidP="004E3904">
            <w:pPr>
              <w:jc w:val="center"/>
              <w:cnfStyle w:val="100000000000"/>
              <w:rPr>
                <w:b/>
                <w:sz w:val="22"/>
              </w:rPr>
            </w:pPr>
            <w:r>
              <w:rPr>
                <w:b/>
                <w:sz w:val="22"/>
              </w:rPr>
              <w:t>01.01.-</w:t>
            </w:r>
            <w:r w:rsidR="00031E60">
              <w:rPr>
                <w:b/>
                <w:sz w:val="22"/>
              </w:rPr>
              <w:t>30</w:t>
            </w:r>
            <w:r>
              <w:rPr>
                <w:b/>
                <w:sz w:val="22"/>
              </w:rPr>
              <w:t>.0</w:t>
            </w:r>
            <w:r w:rsidR="004E3904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.</w:t>
            </w:r>
            <w:r w:rsidRPr="00A15A60">
              <w:rPr>
                <w:b/>
                <w:sz w:val="22"/>
              </w:rPr>
              <w:t>20</w:t>
            </w:r>
            <w:r w:rsidR="00797628">
              <w:rPr>
                <w:b/>
                <w:sz w:val="22"/>
              </w:rPr>
              <w:t>20</w:t>
            </w:r>
            <w:r w:rsidRPr="00A15A60">
              <w:rPr>
                <w:b/>
                <w:sz w:val="22"/>
              </w:rPr>
              <w:t>.g. (u KM)</w:t>
            </w:r>
          </w:p>
        </w:tc>
        <w:tc>
          <w:tcPr>
            <w:tcW w:w="1525" w:type="dxa"/>
          </w:tcPr>
          <w:p w:rsidR="00E469BF" w:rsidRPr="00A15A60" w:rsidRDefault="00E469BF" w:rsidP="000404AD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 xml:space="preserve">% </w:t>
            </w:r>
          </w:p>
          <w:p w:rsidR="00E469BF" w:rsidRPr="00A15A60" w:rsidRDefault="00E469BF" w:rsidP="000404AD">
            <w:pPr>
              <w:jc w:val="center"/>
              <w:cnfStyle w:val="100000000000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učešća</w:t>
            </w:r>
          </w:p>
        </w:tc>
      </w:tr>
      <w:tr w:rsidR="00E469BF" w:rsidRPr="00A15A60" w:rsidTr="000404AD">
        <w:trPr>
          <w:cnfStyle w:val="000000100000"/>
        </w:trPr>
        <w:tc>
          <w:tcPr>
            <w:cnfStyle w:val="001000000000"/>
            <w:tcW w:w="4503" w:type="dxa"/>
          </w:tcPr>
          <w:p w:rsidR="00E469BF" w:rsidRPr="00A15A60" w:rsidRDefault="00E469BF" w:rsidP="000404AD">
            <w:pPr>
              <w:jc w:val="both"/>
              <w:rPr>
                <w:sz w:val="22"/>
              </w:rPr>
            </w:pPr>
            <w:r>
              <w:rPr>
                <w:sz w:val="22"/>
              </w:rPr>
              <w:t>Nabavka građevina</w:t>
            </w:r>
          </w:p>
        </w:tc>
        <w:tc>
          <w:tcPr>
            <w:tcW w:w="3260" w:type="dxa"/>
          </w:tcPr>
          <w:p w:rsidR="00E469BF" w:rsidRPr="00A15A60" w:rsidRDefault="004E3904" w:rsidP="000404AD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286.802</w:t>
            </w:r>
          </w:p>
        </w:tc>
        <w:tc>
          <w:tcPr>
            <w:tcW w:w="1525" w:type="dxa"/>
          </w:tcPr>
          <w:p w:rsidR="00E469BF" w:rsidRPr="00A15A60" w:rsidRDefault="004E3904" w:rsidP="00986299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31,62</w:t>
            </w:r>
          </w:p>
        </w:tc>
      </w:tr>
      <w:tr w:rsidR="00E469BF" w:rsidRPr="00A15A60" w:rsidTr="000404AD">
        <w:tc>
          <w:tcPr>
            <w:cnfStyle w:val="001000000000"/>
            <w:tcW w:w="4503" w:type="dxa"/>
          </w:tcPr>
          <w:p w:rsidR="00E469BF" w:rsidRPr="00A15A60" w:rsidRDefault="00E469BF" w:rsidP="000404AD">
            <w:pPr>
              <w:jc w:val="both"/>
              <w:rPr>
                <w:sz w:val="22"/>
              </w:rPr>
            </w:pPr>
            <w:r>
              <w:rPr>
                <w:sz w:val="22"/>
              </w:rPr>
              <w:t>Nabavka opreme</w:t>
            </w:r>
          </w:p>
        </w:tc>
        <w:tc>
          <w:tcPr>
            <w:tcW w:w="3260" w:type="dxa"/>
          </w:tcPr>
          <w:p w:rsidR="00E469BF" w:rsidRPr="00A15A60" w:rsidRDefault="004E3904" w:rsidP="000404AD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212.495</w:t>
            </w:r>
          </w:p>
        </w:tc>
        <w:tc>
          <w:tcPr>
            <w:tcW w:w="1525" w:type="dxa"/>
          </w:tcPr>
          <w:p w:rsidR="00E469BF" w:rsidRPr="00A15A60" w:rsidRDefault="004E3904" w:rsidP="000404AD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23,43</w:t>
            </w:r>
          </w:p>
        </w:tc>
      </w:tr>
      <w:tr w:rsidR="002E45F0" w:rsidRPr="00A15A60" w:rsidTr="000404AD">
        <w:trPr>
          <w:cnfStyle w:val="000000100000"/>
        </w:trPr>
        <w:tc>
          <w:tcPr>
            <w:cnfStyle w:val="001000000000"/>
            <w:tcW w:w="4503" w:type="dxa"/>
          </w:tcPr>
          <w:p w:rsidR="002E45F0" w:rsidRDefault="002E45F0" w:rsidP="000404AD">
            <w:pPr>
              <w:jc w:val="both"/>
              <w:rPr>
                <w:sz w:val="22"/>
              </w:rPr>
            </w:pPr>
            <w:r>
              <w:rPr>
                <w:sz w:val="22"/>
              </w:rPr>
              <w:t>Nabavka stalnih sredstava u obliku prava</w:t>
            </w:r>
          </w:p>
        </w:tc>
        <w:tc>
          <w:tcPr>
            <w:tcW w:w="3260" w:type="dxa"/>
          </w:tcPr>
          <w:p w:rsidR="002E45F0" w:rsidRDefault="004E3904" w:rsidP="000404AD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25" w:type="dxa"/>
          </w:tcPr>
          <w:p w:rsidR="002E45F0" w:rsidRPr="00A15A60" w:rsidRDefault="004E3904" w:rsidP="000404AD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E469BF" w:rsidRPr="00A15A60" w:rsidTr="000404AD">
        <w:tc>
          <w:tcPr>
            <w:cnfStyle w:val="001000000000"/>
            <w:tcW w:w="4503" w:type="dxa"/>
          </w:tcPr>
          <w:p w:rsidR="00E469BF" w:rsidRPr="00A15A60" w:rsidRDefault="00E469BF" w:rsidP="0079762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Rekonstr</w:t>
            </w:r>
            <w:r w:rsidR="00797628">
              <w:rPr>
                <w:sz w:val="22"/>
              </w:rPr>
              <w:t>.</w:t>
            </w:r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investicijsko održavanje</w:t>
            </w:r>
            <w:r w:rsidR="00797628">
              <w:rPr>
                <w:sz w:val="22"/>
              </w:rPr>
              <w:t xml:space="preserve"> </w:t>
            </w:r>
            <w:proofErr w:type="spellStart"/>
            <w:r w:rsidR="00797628">
              <w:rPr>
                <w:sz w:val="22"/>
              </w:rPr>
              <w:t>lok.cesta</w:t>
            </w:r>
            <w:proofErr w:type="spellEnd"/>
          </w:p>
        </w:tc>
        <w:tc>
          <w:tcPr>
            <w:tcW w:w="3260" w:type="dxa"/>
          </w:tcPr>
          <w:p w:rsidR="00E469BF" w:rsidRPr="00A15A60" w:rsidRDefault="004E3904" w:rsidP="000404AD">
            <w:pPr>
              <w:ind w:right="74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330.737</w:t>
            </w:r>
          </w:p>
        </w:tc>
        <w:tc>
          <w:tcPr>
            <w:tcW w:w="1525" w:type="dxa"/>
          </w:tcPr>
          <w:p w:rsidR="00E469BF" w:rsidRPr="00A15A60" w:rsidRDefault="004E3904" w:rsidP="000404AD">
            <w:pPr>
              <w:ind w:right="283"/>
              <w:jc w:val="right"/>
              <w:cnfStyle w:val="000000000000"/>
              <w:rPr>
                <w:sz w:val="22"/>
              </w:rPr>
            </w:pPr>
            <w:r>
              <w:rPr>
                <w:sz w:val="22"/>
              </w:rPr>
              <w:t>36,47</w:t>
            </w:r>
          </w:p>
        </w:tc>
      </w:tr>
      <w:tr w:rsidR="00797628" w:rsidRPr="00A15A60" w:rsidTr="000404AD">
        <w:trPr>
          <w:cnfStyle w:val="000000100000"/>
        </w:trPr>
        <w:tc>
          <w:tcPr>
            <w:cnfStyle w:val="001000000000"/>
            <w:tcW w:w="4503" w:type="dxa"/>
          </w:tcPr>
          <w:p w:rsidR="00797628" w:rsidRDefault="00797628" w:rsidP="0079762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Rekonstr.i</w:t>
            </w:r>
            <w:proofErr w:type="spellEnd"/>
            <w:r>
              <w:rPr>
                <w:sz w:val="22"/>
              </w:rPr>
              <w:t xml:space="preserve"> investicijsko održavanje </w:t>
            </w:r>
            <w:proofErr w:type="spellStart"/>
            <w:r>
              <w:rPr>
                <w:sz w:val="22"/>
              </w:rPr>
              <w:t>reg.cesta</w:t>
            </w:r>
            <w:proofErr w:type="spellEnd"/>
          </w:p>
        </w:tc>
        <w:tc>
          <w:tcPr>
            <w:tcW w:w="3260" w:type="dxa"/>
          </w:tcPr>
          <w:p w:rsidR="00797628" w:rsidRPr="00A15A60" w:rsidRDefault="004E3904" w:rsidP="000404AD">
            <w:pPr>
              <w:ind w:right="74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76.859</w:t>
            </w:r>
          </w:p>
        </w:tc>
        <w:tc>
          <w:tcPr>
            <w:tcW w:w="1525" w:type="dxa"/>
          </w:tcPr>
          <w:p w:rsidR="00797628" w:rsidRPr="00A15A60" w:rsidRDefault="004E3904" w:rsidP="000404AD">
            <w:pPr>
              <w:ind w:right="283"/>
              <w:jc w:val="right"/>
              <w:cnfStyle w:val="000000100000"/>
              <w:rPr>
                <w:sz w:val="22"/>
              </w:rPr>
            </w:pPr>
            <w:r>
              <w:rPr>
                <w:sz w:val="22"/>
              </w:rPr>
              <w:t>8,48</w:t>
            </w:r>
          </w:p>
        </w:tc>
      </w:tr>
      <w:tr w:rsidR="00E469BF" w:rsidRPr="00A15A60" w:rsidTr="000404AD">
        <w:tc>
          <w:tcPr>
            <w:cnfStyle w:val="001000000000"/>
            <w:tcW w:w="4503" w:type="dxa"/>
          </w:tcPr>
          <w:p w:rsidR="00E469BF" w:rsidRPr="00A15A60" w:rsidRDefault="00E469BF" w:rsidP="000404AD">
            <w:pPr>
              <w:jc w:val="both"/>
              <w:rPr>
                <w:b/>
                <w:sz w:val="22"/>
              </w:rPr>
            </w:pPr>
            <w:r w:rsidRPr="00A15A60">
              <w:rPr>
                <w:b/>
                <w:sz w:val="22"/>
              </w:rPr>
              <w:t>UKUPNO:</w:t>
            </w:r>
          </w:p>
        </w:tc>
        <w:tc>
          <w:tcPr>
            <w:tcW w:w="3260" w:type="dxa"/>
          </w:tcPr>
          <w:p w:rsidR="00E469BF" w:rsidRPr="00A15A60" w:rsidRDefault="004E3904" w:rsidP="000404AD">
            <w:pPr>
              <w:ind w:right="74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906.893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1525" w:type="dxa"/>
          </w:tcPr>
          <w:p w:rsidR="00E469BF" w:rsidRPr="00A15A60" w:rsidRDefault="004E3904" w:rsidP="000404AD">
            <w:pPr>
              <w:ind w:right="283"/>
              <w:jc w:val="right"/>
              <w:cnfStyle w:val="00000000000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=SUM(ABOVE) </w:instrText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100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>,00</w:t>
            </w:r>
          </w:p>
        </w:tc>
      </w:tr>
    </w:tbl>
    <w:p w:rsidR="00E469BF" w:rsidRDefault="00E469BF" w:rsidP="00E469BF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drawing>
          <wp:inline distT="0" distB="0" distL="0" distR="0">
            <wp:extent cx="5121835" cy="1643529"/>
            <wp:effectExtent l="19050" t="0" r="261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469BF" w:rsidRDefault="00E469BF" w:rsidP="00E469BF">
      <w:pPr>
        <w:jc w:val="center"/>
        <w:rPr>
          <w:sz w:val="20"/>
          <w:szCs w:val="20"/>
        </w:rPr>
      </w:pPr>
      <w:r w:rsidRPr="00633355">
        <w:rPr>
          <w:sz w:val="20"/>
          <w:szCs w:val="20"/>
        </w:rPr>
        <w:t xml:space="preserve">Graf </w:t>
      </w:r>
      <w:r>
        <w:rPr>
          <w:sz w:val="20"/>
          <w:szCs w:val="20"/>
        </w:rPr>
        <w:t>1</w:t>
      </w:r>
      <w:r w:rsidR="00A832B5">
        <w:rPr>
          <w:sz w:val="20"/>
          <w:szCs w:val="20"/>
        </w:rPr>
        <w:t>5</w:t>
      </w:r>
      <w:r w:rsidRPr="00633355">
        <w:rPr>
          <w:sz w:val="20"/>
          <w:szCs w:val="20"/>
        </w:rPr>
        <w:t xml:space="preserve">. </w:t>
      </w:r>
      <w:r>
        <w:rPr>
          <w:sz w:val="20"/>
          <w:szCs w:val="20"/>
        </w:rPr>
        <w:t>Struktura izvršenih izdataka za nabavku stalnih sredstava</w:t>
      </w:r>
      <w:r w:rsidRPr="00633355">
        <w:rPr>
          <w:sz w:val="20"/>
          <w:szCs w:val="20"/>
        </w:rPr>
        <w:t xml:space="preserve"> u </w:t>
      </w:r>
      <w:r>
        <w:rPr>
          <w:sz w:val="20"/>
          <w:szCs w:val="20"/>
        </w:rPr>
        <w:t>razdoblju 01.01.-</w:t>
      </w:r>
      <w:r w:rsidR="00DF66A6">
        <w:rPr>
          <w:sz w:val="20"/>
          <w:szCs w:val="20"/>
        </w:rPr>
        <w:t>30</w:t>
      </w:r>
      <w:r>
        <w:rPr>
          <w:sz w:val="20"/>
          <w:szCs w:val="20"/>
        </w:rPr>
        <w:t>.0</w:t>
      </w:r>
      <w:r w:rsidR="004E3904">
        <w:rPr>
          <w:sz w:val="20"/>
          <w:szCs w:val="20"/>
        </w:rPr>
        <w:t>9</w:t>
      </w:r>
      <w:r>
        <w:rPr>
          <w:sz w:val="20"/>
          <w:szCs w:val="20"/>
        </w:rPr>
        <w:t>.20</w:t>
      </w:r>
      <w:r w:rsidR="00797628">
        <w:rPr>
          <w:sz w:val="20"/>
          <w:szCs w:val="20"/>
        </w:rPr>
        <w:t>20</w:t>
      </w:r>
      <w:r w:rsidRPr="00633355">
        <w:rPr>
          <w:sz w:val="20"/>
          <w:szCs w:val="20"/>
        </w:rPr>
        <w:t>. godin</w:t>
      </w:r>
      <w:r>
        <w:rPr>
          <w:sz w:val="20"/>
          <w:szCs w:val="20"/>
        </w:rPr>
        <w:t>e</w:t>
      </w:r>
    </w:p>
    <w:p w:rsidR="00E469BF" w:rsidRDefault="00E469BF" w:rsidP="00E469BF">
      <w:pPr>
        <w:pStyle w:val="Uvuenotijeloteksta"/>
        <w:spacing w:line="240" w:lineRule="auto"/>
        <w:ind w:firstLine="0"/>
      </w:pPr>
    </w:p>
    <w:p w:rsidR="00F63D0D" w:rsidRDefault="00547F14" w:rsidP="002E45F0">
      <w:pPr>
        <w:pStyle w:val="Uvuenotijeloteksta"/>
        <w:spacing w:line="240" w:lineRule="auto"/>
        <w:ind w:firstLine="0"/>
      </w:pPr>
      <w:r>
        <w:t>U razdoblju 01.01.-</w:t>
      </w:r>
      <w:r w:rsidR="00DF66A6">
        <w:t>30</w:t>
      </w:r>
      <w:r>
        <w:t>.0</w:t>
      </w:r>
      <w:r w:rsidR="004E3904">
        <w:t>9</w:t>
      </w:r>
      <w:r>
        <w:t>.20</w:t>
      </w:r>
      <w:r w:rsidR="00797628">
        <w:t>20</w:t>
      </w:r>
      <w:r>
        <w:t xml:space="preserve">. godine </w:t>
      </w:r>
      <w:r w:rsidR="00BC020E">
        <w:t xml:space="preserve">na </w:t>
      </w:r>
      <w:r w:rsidR="00BC020E" w:rsidRPr="00AA0D7F">
        <w:rPr>
          <w:b/>
        </w:rPr>
        <w:t>nabavku građevina (glavna skupina 821200)</w:t>
      </w:r>
      <w:r w:rsidR="00BC020E">
        <w:t xml:space="preserve"> potrošeno je ukupno </w:t>
      </w:r>
      <w:r w:rsidR="004E3904">
        <w:t>286.802</w:t>
      </w:r>
      <w:r w:rsidR="00BC020E">
        <w:t xml:space="preserve"> KM, </w:t>
      </w:r>
      <w:r w:rsidR="006807A3">
        <w:t xml:space="preserve">dok </w:t>
      </w:r>
      <w:r w:rsidR="00DF66A6">
        <w:t xml:space="preserve">je </w:t>
      </w:r>
      <w:r w:rsidR="006807A3">
        <w:t>u istom razdoblju prethodne godine potrošnj</w:t>
      </w:r>
      <w:r w:rsidR="00DF66A6">
        <w:t>a</w:t>
      </w:r>
      <w:r w:rsidR="006807A3">
        <w:t xml:space="preserve"> </w:t>
      </w:r>
      <w:r w:rsidR="00797628">
        <w:t>na nabavku građevina</w:t>
      </w:r>
      <w:r w:rsidR="00DF66A6">
        <w:t xml:space="preserve"> iznosila </w:t>
      </w:r>
      <w:r w:rsidR="004E3904">
        <w:t>17.100</w:t>
      </w:r>
      <w:r w:rsidR="00DF66A6">
        <w:t xml:space="preserve"> KM</w:t>
      </w:r>
      <w:r w:rsidR="006807A3">
        <w:t>.</w:t>
      </w:r>
    </w:p>
    <w:p w:rsidR="00890C24" w:rsidRDefault="00890C24" w:rsidP="00E469BF">
      <w:pPr>
        <w:pStyle w:val="Uvuenotijeloteksta"/>
        <w:spacing w:line="240" w:lineRule="auto"/>
        <w:ind w:firstLine="0"/>
      </w:pPr>
    </w:p>
    <w:p w:rsidR="00BC020E" w:rsidRPr="00A179D2" w:rsidRDefault="00BC020E" w:rsidP="00BC020E">
      <w:pPr>
        <w:pStyle w:val="Uvuenotijeloteksta"/>
        <w:spacing w:line="240" w:lineRule="auto"/>
        <w:ind w:firstLine="0"/>
      </w:pPr>
      <w:r w:rsidRPr="00A179D2">
        <w:t xml:space="preserve">Potrošnja je realizirana kod proračunskih korisnika: </w:t>
      </w:r>
    </w:p>
    <w:p w:rsidR="00DF66A6" w:rsidRDefault="00D201B7" w:rsidP="00BC020E">
      <w:pPr>
        <w:pStyle w:val="Uvuenotijeloteksta"/>
        <w:numPr>
          <w:ilvl w:val="0"/>
          <w:numId w:val="28"/>
        </w:numPr>
        <w:spacing w:line="240" w:lineRule="auto"/>
      </w:pPr>
      <w:r>
        <w:t xml:space="preserve">Vlada Županije Posavske u ukupnom iznosu od </w:t>
      </w:r>
      <w:r w:rsidR="009C7CA5">
        <w:t>13.773</w:t>
      </w:r>
      <w:r w:rsidR="00DF66A6">
        <w:t xml:space="preserve"> KM i to:</w:t>
      </w:r>
    </w:p>
    <w:p w:rsidR="00D201B7" w:rsidRPr="004E23A6" w:rsidRDefault="004E23A6" w:rsidP="00DF66A6">
      <w:pPr>
        <w:pStyle w:val="Uvuenotijeloteksta"/>
        <w:numPr>
          <w:ilvl w:val="1"/>
          <w:numId w:val="28"/>
        </w:numPr>
        <w:spacing w:line="240" w:lineRule="auto"/>
      </w:pPr>
      <w:r w:rsidRPr="004E23A6">
        <w:t>2.521</w:t>
      </w:r>
      <w:r w:rsidR="00D201B7" w:rsidRPr="004E23A6">
        <w:t xml:space="preserve"> </w:t>
      </w:r>
      <w:r w:rsidR="008940C4" w:rsidRPr="004E23A6">
        <w:t>KM</w:t>
      </w:r>
      <w:r>
        <w:t xml:space="preserve"> (ukupan iznos)</w:t>
      </w:r>
      <w:r w:rsidR="008940C4" w:rsidRPr="004E23A6">
        <w:t xml:space="preserve"> za nabavku ulične rasvjete, </w:t>
      </w:r>
      <w:r w:rsidRPr="004E23A6">
        <w:t>potrošnih materijala za uličnu rasvjetu</w:t>
      </w:r>
      <w:r>
        <w:t>,</w:t>
      </w:r>
      <w:r w:rsidRPr="004E23A6">
        <w:t xml:space="preserve"> te usluge rekonstrukcije i </w:t>
      </w:r>
      <w:r w:rsidR="00F463C8">
        <w:t>produžetka rasvjetnih stupova,</w:t>
      </w:r>
    </w:p>
    <w:p w:rsidR="008940C4" w:rsidRDefault="008940C4" w:rsidP="00DF66A6">
      <w:pPr>
        <w:pStyle w:val="Uvuenotijeloteksta"/>
        <w:numPr>
          <w:ilvl w:val="1"/>
          <w:numId w:val="28"/>
        </w:numPr>
        <w:spacing w:line="240" w:lineRule="auto"/>
      </w:pPr>
      <w:r w:rsidRPr="004E23A6">
        <w:t>5.265 KM</w:t>
      </w:r>
      <w:r w:rsidR="004E23A6" w:rsidRPr="004E23A6">
        <w:t xml:space="preserve"> za nabavku vanjskih fiksnih žaluzina po Ugovoru o javnoj nabavi roba izravnim sporazumom, broj: 01-I-11-139-4/</w:t>
      </w:r>
      <w:r w:rsidR="00F463C8">
        <w:t>20 od 11.05.2020. godine, i</w:t>
      </w:r>
    </w:p>
    <w:p w:rsidR="004E3904" w:rsidRPr="00F463C8" w:rsidRDefault="004E3904" w:rsidP="00DF66A6">
      <w:pPr>
        <w:pStyle w:val="Uvuenotijeloteksta"/>
        <w:numPr>
          <w:ilvl w:val="1"/>
          <w:numId w:val="28"/>
        </w:numPr>
        <w:spacing w:line="240" w:lineRule="auto"/>
      </w:pPr>
      <w:r w:rsidRPr="00F463C8">
        <w:t>5987</w:t>
      </w:r>
      <w:r w:rsidR="00F463C8">
        <w:t xml:space="preserve"> KM za nabavku i ugradnju vanjskih tendi i roleta na postojeće krovne prozore u zgradi Vlade ŽP po Ugovoru o javnoj nabavi izravnim sporazumom, broj: 01-I-11-204-4/20 od 16.07.2020. godine.</w:t>
      </w:r>
    </w:p>
    <w:p w:rsidR="00D201B7" w:rsidRDefault="00D201B7" w:rsidP="00BC020E">
      <w:pPr>
        <w:pStyle w:val="Uvuenotijeloteksta"/>
        <w:numPr>
          <w:ilvl w:val="0"/>
          <w:numId w:val="28"/>
        </w:numPr>
        <w:spacing w:line="240" w:lineRule="auto"/>
      </w:pPr>
      <w:r>
        <w:t xml:space="preserve">Ministarstvo prosvjete, znanosti, kulture i sporta Županije Posavske u ukupnom iznosu od </w:t>
      </w:r>
      <w:r w:rsidR="00F463C8">
        <w:t>270.091</w:t>
      </w:r>
      <w:r>
        <w:t xml:space="preserve"> KM, i to:</w:t>
      </w:r>
    </w:p>
    <w:p w:rsidR="00D201B7" w:rsidRDefault="00D201B7" w:rsidP="00D201B7">
      <w:pPr>
        <w:pStyle w:val="Uvuenotijeloteksta"/>
        <w:numPr>
          <w:ilvl w:val="1"/>
          <w:numId w:val="28"/>
        </w:numPr>
        <w:spacing w:line="240" w:lineRule="auto"/>
      </w:pPr>
      <w:r>
        <w:t>na osnovi Ugovora o izvođenju radova – Osnovna škola Vladimira Nazora Odžak sanacija objekta Područne škole u Donjem Svilaju, broj: 06-14-1421-13/19 od 23.01.2020. godine u iznosu od 81.89</w:t>
      </w:r>
      <w:r w:rsidR="00C6593B">
        <w:t>3</w:t>
      </w:r>
      <w:r>
        <w:t xml:space="preserve"> KM,</w:t>
      </w:r>
    </w:p>
    <w:p w:rsidR="00D201B7" w:rsidRDefault="00D201B7" w:rsidP="00D201B7">
      <w:pPr>
        <w:pStyle w:val="Uvuenotijeloteksta"/>
        <w:numPr>
          <w:ilvl w:val="1"/>
          <w:numId w:val="28"/>
        </w:numPr>
        <w:spacing w:line="240" w:lineRule="auto"/>
      </w:pPr>
      <w:r>
        <w:t xml:space="preserve">na osnovi Ugovora o izvođenju radova – Osnovna škola Vladimira Nazora Odžak sanacija objekta Područne škole u </w:t>
      </w:r>
      <w:proofErr w:type="spellStart"/>
      <w:r>
        <w:t>Potočanima</w:t>
      </w:r>
      <w:proofErr w:type="spellEnd"/>
      <w:r>
        <w:t>, broj: 06-14-1420-14/19 od 27.12.2019. godine u i</w:t>
      </w:r>
      <w:r w:rsidR="00C6593B">
        <w:t>znosu od 17.133</w:t>
      </w:r>
      <w:r>
        <w:t xml:space="preserve"> KM,</w:t>
      </w:r>
    </w:p>
    <w:p w:rsidR="00D201B7" w:rsidRDefault="00D201B7" w:rsidP="00D201B7">
      <w:pPr>
        <w:pStyle w:val="Uvuenotijeloteksta"/>
        <w:numPr>
          <w:ilvl w:val="1"/>
          <w:numId w:val="28"/>
        </w:numPr>
        <w:spacing w:line="240" w:lineRule="auto"/>
      </w:pPr>
      <w:r>
        <w:t xml:space="preserve">na osnovi Ugovora o građevinskom nadzoru nad radovima na Osnovnoj školi Vladimira Nazora Odžak sanacija objekta Područne škole u </w:t>
      </w:r>
      <w:proofErr w:type="spellStart"/>
      <w:r w:rsidR="009669B7">
        <w:t>Potočanima</w:t>
      </w:r>
      <w:proofErr w:type="spellEnd"/>
      <w:r>
        <w:t>, broj: 06</w:t>
      </w:r>
      <w:r w:rsidR="009669B7">
        <w:t>-</w:t>
      </w:r>
      <w:r>
        <w:t>14-1551-5/19 od 30.12.2019. godine,</w:t>
      </w:r>
      <w:r w:rsidR="009669B7">
        <w:t xml:space="preserve"> u iznosu od 2.047 KM,</w:t>
      </w:r>
    </w:p>
    <w:p w:rsidR="00D201B7" w:rsidRDefault="009669B7" w:rsidP="00D201B7">
      <w:pPr>
        <w:pStyle w:val="Uvuenotijeloteksta"/>
        <w:numPr>
          <w:ilvl w:val="1"/>
          <w:numId w:val="28"/>
        </w:numPr>
        <w:spacing w:line="240" w:lineRule="auto"/>
      </w:pPr>
      <w:r>
        <w:t xml:space="preserve">na osnovi Ugovora o građevinskom nadzoru nad radovima na Osnovnoj školi Vladimira Nazora Odžak sanacija objekta Područne škole u Donjem Svilaju, broj: 06-11-62-6/20 od 07.02.2020. </w:t>
      </w:r>
      <w:r w:rsidR="008940C4">
        <w:t>godine, u iznosu od 2.047 KM,</w:t>
      </w:r>
    </w:p>
    <w:p w:rsidR="008940C4" w:rsidRPr="004748BC" w:rsidRDefault="004748BC" w:rsidP="00D201B7">
      <w:pPr>
        <w:pStyle w:val="Uvuenotijeloteksta"/>
        <w:numPr>
          <w:ilvl w:val="1"/>
          <w:numId w:val="28"/>
        </w:numPr>
        <w:spacing w:line="240" w:lineRule="auto"/>
      </w:pPr>
      <w:r w:rsidRPr="004748BC">
        <w:t xml:space="preserve">na osnovi Ugovora o izvođenju radova – </w:t>
      </w:r>
      <w:proofErr w:type="spellStart"/>
      <w:r w:rsidRPr="004748BC">
        <w:t>Utopljavanje</w:t>
      </w:r>
      <w:proofErr w:type="spellEnd"/>
      <w:r w:rsidRPr="004748BC">
        <w:t xml:space="preserve"> Osnovne škole Vladimira Nazora u Odžaku na objektu područne škole u Posavskoj Mahali, broj: 06-11-165-14/20 od 04.05.2020. godine u iznosu od </w:t>
      </w:r>
      <w:r w:rsidR="008940C4" w:rsidRPr="004748BC">
        <w:t>58.500 KM</w:t>
      </w:r>
      <w:r w:rsidR="00F463C8">
        <w:t>,</w:t>
      </w:r>
    </w:p>
    <w:p w:rsidR="008940C4" w:rsidRDefault="004748BC" w:rsidP="00D201B7">
      <w:pPr>
        <w:pStyle w:val="Uvuenotijeloteksta"/>
        <w:numPr>
          <w:ilvl w:val="1"/>
          <w:numId w:val="28"/>
        </w:numPr>
        <w:spacing w:line="240" w:lineRule="auto"/>
      </w:pPr>
      <w:r w:rsidRPr="004748BC">
        <w:lastRenderedPageBreak/>
        <w:t xml:space="preserve">na temelju Ugovora o građevinskom nadzoru nad radovima </w:t>
      </w:r>
      <w:proofErr w:type="spellStart"/>
      <w:r w:rsidRPr="004748BC">
        <w:t>Utopljavanje</w:t>
      </w:r>
      <w:proofErr w:type="spellEnd"/>
      <w:r w:rsidRPr="004748BC">
        <w:t xml:space="preserve"> Osnovne škole Vladimira Nazora u Odžaku na objektu područne škole u Posavskoj Mahali, broj: 06-11-418-6/20 od 07.05.2020. godine u iznosu od </w:t>
      </w:r>
      <w:r w:rsidR="008940C4" w:rsidRPr="004748BC">
        <w:t>1.404 KM</w:t>
      </w:r>
      <w:r w:rsidR="00F463C8">
        <w:t>,</w:t>
      </w:r>
    </w:p>
    <w:p w:rsidR="00F463C8" w:rsidRDefault="00F463C8" w:rsidP="00D201B7">
      <w:pPr>
        <w:pStyle w:val="Uvuenotijeloteksta"/>
        <w:numPr>
          <w:ilvl w:val="1"/>
          <w:numId w:val="28"/>
        </w:numPr>
        <w:spacing w:line="240" w:lineRule="auto"/>
      </w:pPr>
      <w:r>
        <w:t>na temelju Ugovora o izvođenju radova – sanacija i adaptacija sanitarnih čvorova sa ciljem omogućavanja pristupačnosti osobama s invaliditetom u objektu Srednje škole Pere Zečevića u Odžaku, broj: 06-11-466-10/20 od 22.06.2020. godine u ukupnom iznosu od 47.96</w:t>
      </w:r>
      <w:r w:rsidR="0064156B">
        <w:t>7</w:t>
      </w:r>
      <w:r>
        <w:t xml:space="preserve"> KM,</w:t>
      </w:r>
    </w:p>
    <w:p w:rsidR="00F463C8" w:rsidRDefault="00F463C8" w:rsidP="00D201B7">
      <w:pPr>
        <w:pStyle w:val="Uvuenotijeloteksta"/>
        <w:numPr>
          <w:ilvl w:val="1"/>
          <w:numId w:val="28"/>
        </w:numPr>
        <w:spacing w:line="240" w:lineRule="auto"/>
      </w:pPr>
      <w:r>
        <w:t xml:space="preserve">na temelju Ugovora o izvođenju radova preuređenje skladišta za </w:t>
      </w:r>
      <w:proofErr w:type="spellStart"/>
      <w:r>
        <w:t>pelet</w:t>
      </w:r>
      <w:proofErr w:type="spellEnd"/>
      <w:r>
        <w:t xml:space="preserve"> Osnovne škole Vladimira Nazora Odžak na objektu područne škole u Posavskoj Mahali, broj: 06-11-570-6/20 od 25.06.2020. godine u iznosu od 6.88</w:t>
      </w:r>
      <w:r w:rsidR="0064156B">
        <w:t>1</w:t>
      </w:r>
      <w:r>
        <w:t xml:space="preserve"> KM, i</w:t>
      </w:r>
    </w:p>
    <w:p w:rsidR="00F463C8" w:rsidRPr="004748BC" w:rsidRDefault="00F463C8" w:rsidP="00D201B7">
      <w:pPr>
        <w:pStyle w:val="Uvuenotijeloteksta"/>
        <w:numPr>
          <w:ilvl w:val="1"/>
          <w:numId w:val="28"/>
        </w:numPr>
        <w:spacing w:line="240" w:lineRule="auto"/>
      </w:pPr>
      <w:r>
        <w:t xml:space="preserve">na temelju Ugovora o izvođenju radova – </w:t>
      </w:r>
      <w:proofErr w:type="spellStart"/>
      <w:r>
        <w:t>Utopljavanje</w:t>
      </w:r>
      <w:proofErr w:type="spellEnd"/>
      <w:r>
        <w:t xml:space="preserve"> objekta Srednje škole Pere Zečevića u Odžaku, broj: 06-11-166-24/20 od 24.07.2020. godine u iznosu od 52.21</w:t>
      </w:r>
      <w:r w:rsidR="0064156B">
        <w:t>9</w:t>
      </w:r>
      <w:r>
        <w:t xml:space="preserve"> KM.</w:t>
      </w:r>
    </w:p>
    <w:p w:rsidR="00E56B80" w:rsidRDefault="00E56B80" w:rsidP="00E56B80">
      <w:pPr>
        <w:pStyle w:val="Uvuenotijeloteksta"/>
        <w:numPr>
          <w:ilvl w:val="0"/>
          <w:numId w:val="28"/>
        </w:numPr>
        <w:spacing w:line="240" w:lineRule="auto"/>
      </w:pPr>
      <w:r>
        <w:t xml:space="preserve">Ministarstvo prosvjete, znanosti, kulture i sporta Županije Posavske – potrošačka jedinica Osnovna škola Stjepana Radića u Boku na temelju Ugovora o izvođenju radova na zamjeni poda u informatičkom kabinetu OŠ </w:t>
      </w:r>
      <w:proofErr w:type="spellStart"/>
      <w:r>
        <w:t>S.Radića</w:t>
      </w:r>
      <w:proofErr w:type="spellEnd"/>
      <w:r>
        <w:t xml:space="preserve"> u Boku, broj: 130-5/20 od 22.05.2020. godine u iznosu </w:t>
      </w:r>
      <w:r w:rsidR="0064156B">
        <w:t>od 2.938</w:t>
      </w:r>
      <w:r>
        <w:t xml:space="preserve"> KM.</w:t>
      </w:r>
    </w:p>
    <w:p w:rsidR="00BC020E" w:rsidRDefault="00BC020E" w:rsidP="00E469BF">
      <w:pPr>
        <w:pStyle w:val="Uvuenotijeloteksta"/>
        <w:spacing w:line="240" w:lineRule="auto"/>
        <w:ind w:firstLine="0"/>
      </w:pPr>
    </w:p>
    <w:p w:rsidR="00E469BF" w:rsidRPr="0060012E" w:rsidRDefault="00E469BF" w:rsidP="00E469BF">
      <w:pPr>
        <w:pStyle w:val="Uvuenotijeloteksta"/>
        <w:spacing w:line="240" w:lineRule="auto"/>
        <w:ind w:firstLine="0"/>
      </w:pPr>
      <w:r w:rsidRPr="00AA0D7F">
        <w:rPr>
          <w:b/>
        </w:rPr>
        <w:t>Izdaci za nabavku opreme</w:t>
      </w:r>
      <w:r w:rsidR="00547F14" w:rsidRPr="00AA0D7F">
        <w:rPr>
          <w:b/>
        </w:rPr>
        <w:t xml:space="preserve"> (glavna skupina 821300)</w:t>
      </w:r>
      <w:r w:rsidRPr="00B57BB1">
        <w:t xml:space="preserve"> izvršeni su u visini od </w:t>
      </w:r>
      <w:r w:rsidR="00E56B80">
        <w:t>212.495</w:t>
      </w:r>
      <w:r w:rsidRPr="00B57BB1">
        <w:t xml:space="preserve"> KM, što je </w:t>
      </w:r>
      <w:r w:rsidR="00E56B80">
        <w:t>72,80</w:t>
      </w:r>
      <w:r w:rsidRPr="00B57BB1">
        <w:t xml:space="preserve">% ukupno planiranih izdataka po ovoj namjeni. </w:t>
      </w:r>
      <w:r w:rsidR="006807A3">
        <w:t xml:space="preserve">U odnosu na isto razdoblje prethodne godine, potrošnja na nabavku opreme je u izvještajnom razdoblju </w:t>
      </w:r>
      <w:r w:rsidR="009669B7">
        <w:t>manja</w:t>
      </w:r>
      <w:r w:rsidR="006807A3">
        <w:t xml:space="preserve"> za </w:t>
      </w:r>
      <w:r w:rsidR="00E56B80">
        <w:t>9.152</w:t>
      </w:r>
      <w:r w:rsidR="006807A3">
        <w:t xml:space="preserve"> KM. </w:t>
      </w:r>
      <w:r w:rsidRPr="0060012E">
        <w:t>Strukturu potrošnje čine:</w:t>
      </w:r>
    </w:p>
    <w:p w:rsidR="00976DAD" w:rsidRPr="00191036" w:rsidRDefault="00976DAD" w:rsidP="00E469BF">
      <w:pPr>
        <w:pStyle w:val="Uvuenotijeloteksta"/>
        <w:numPr>
          <w:ilvl w:val="0"/>
          <w:numId w:val="10"/>
        </w:numPr>
        <w:spacing w:line="240" w:lineRule="auto"/>
      </w:pPr>
      <w:r w:rsidRPr="00191036">
        <w:t>nabavka namješta</w:t>
      </w:r>
      <w:r w:rsidR="008B12F2" w:rsidRPr="00191036">
        <w:t>ja (analitički konto 821311 –</w:t>
      </w:r>
      <w:r w:rsidR="0060012E" w:rsidRPr="00191036">
        <w:t xml:space="preserve"> </w:t>
      </w:r>
      <w:r w:rsidR="00E56B80">
        <w:t>13.841</w:t>
      </w:r>
      <w:r w:rsidR="0060012E" w:rsidRPr="00191036">
        <w:t xml:space="preserve"> </w:t>
      </w:r>
      <w:r w:rsidR="00BE7BF7">
        <w:t>KM</w:t>
      </w:r>
      <w:r w:rsidRPr="00191036">
        <w:t>),</w:t>
      </w:r>
    </w:p>
    <w:p w:rsidR="00E469BF" w:rsidRDefault="00E469BF" w:rsidP="00E469BF">
      <w:pPr>
        <w:pStyle w:val="Uvuenotijeloteksta"/>
        <w:numPr>
          <w:ilvl w:val="0"/>
          <w:numId w:val="10"/>
        </w:numPr>
        <w:spacing w:line="240" w:lineRule="auto"/>
      </w:pPr>
      <w:r w:rsidRPr="00191036">
        <w:t xml:space="preserve">nabavka računalne opreme (analitički konto 821312 – </w:t>
      </w:r>
      <w:r w:rsidR="00E56B80">
        <w:t>54.697</w:t>
      </w:r>
      <w:r w:rsidR="00890C24" w:rsidRPr="00191036">
        <w:t xml:space="preserve"> KM</w:t>
      </w:r>
      <w:r w:rsidR="00C95A96" w:rsidRPr="00191036">
        <w:t>),</w:t>
      </w:r>
    </w:p>
    <w:p w:rsidR="005C0693" w:rsidRDefault="005C0693" w:rsidP="00E469BF">
      <w:pPr>
        <w:pStyle w:val="Uvuenotijeloteksta"/>
        <w:numPr>
          <w:ilvl w:val="0"/>
          <w:numId w:val="10"/>
        </w:numPr>
        <w:spacing w:line="240" w:lineRule="auto"/>
      </w:pPr>
      <w:r>
        <w:t xml:space="preserve">oprema za prijenos podataka (analitički konto 821313 – </w:t>
      </w:r>
      <w:r w:rsidR="00E56B80">
        <w:t>1.126</w:t>
      </w:r>
      <w:r>
        <w:t xml:space="preserve"> KM),</w:t>
      </w:r>
    </w:p>
    <w:p w:rsidR="005C0693" w:rsidRDefault="005C0693" w:rsidP="00E469BF">
      <w:pPr>
        <w:pStyle w:val="Uvuenotijeloteksta"/>
        <w:numPr>
          <w:ilvl w:val="0"/>
          <w:numId w:val="10"/>
        </w:numPr>
        <w:spacing w:line="240" w:lineRule="auto"/>
      </w:pPr>
      <w:r>
        <w:t xml:space="preserve">ostali uredski strojevi (analitički konto 821319 – </w:t>
      </w:r>
      <w:r w:rsidR="00E56B80">
        <w:t>2.279</w:t>
      </w:r>
      <w:r>
        <w:t xml:space="preserve"> KM),</w:t>
      </w:r>
      <w:r w:rsidR="008940C4">
        <w:t xml:space="preserve"> </w:t>
      </w:r>
    </w:p>
    <w:p w:rsidR="008940C4" w:rsidRDefault="008940C4" w:rsidP="00E469BF">
      <w:pPr>
        <w:pStyle w:val="Uvuenotijeloteksta"/>
        <w:numPr>
          <w:ilvl w:val="0"/>
          <w:numId w:val="10"/>
        </w:numPr>
        <w:spacing w:line="240" w:lineRule="auto"/>
      </w:pPr>
      <w:r>
        <w:t>motorna vozila (analitički konto 821321</w:t>
      </w:r>
      <w:r w:rsidR="00914718">
        <w:t xml:space="preserve"> – </w:t>
      </w:r>
      <w:r w:rsidR="00E56B80">
        <w:t>121.900</w:t>
      </w:r>
      <w:r w:rsidR="00914718">
        <w:t xml:space="preserve"> KM),</w:t>
      </w:r>
    </w:p>
    <w:p w:rsidR="00E56B80" w:rsidRDefault="00E56B80" w:rsidP="00E469BF">
      <w:pPr>
        <w:pStyle w:val="Uvuenotijeloteksta"/>
        <w:numPr>
          <w:ilvl w:val="0"/>
          <w:numId w:val="10"/>
        </w:numPr>
        <w:spacing w:line="240" w:lineRule="auto"/>
      </w:pPr>
      <w:r>
        <w:t>poljoprivredna motorna ??? (</w:t>
      </w:r>
      <w:proofErr w:type="spellStart"/>
      <w:r>
        <w:t>anaitički</w:t>
      </w:r>
      <w:proofErr w:type="spellEnd"/>
      <w:r>
        <w:t xml:space="preserve"> konto 821322 – 635 KM),</w:t>
      </w:r>
    </w:p>
    <w:p w:rsidR="00914718" w:rsidRDefault="00914718" w:rsidP="00E469BF">
      <w:pPr>
        <w:pStyle w:val="Uvuenotijeloteksta"/>
        <w:numPr>
          <w:ilvl w:val="0"/>
          <w:numId w:val="10"/>
        </w:numPr>
        <w:spacing w:line="240" w:lineRule="auto"/>
      </w:pPr>
      <w:r>
        <w:t>opremanje i namještanje učionica i knjižnica (analitički konto 821332 – 5.113 KM),</w:t>
      </w:r>
    </w:p>
    <w:p w:rsidR="00E56B80" w:rsidRDefault="00E56B80" w:rsidP="00E469BF">
      <w:pPr>
        <w:pStyle w:val="Uvuenotijeloteksta"/>
        <w:numPr>
          <w:ilvl w:val="0"/>
          <w:numId w:val="10"/>
        </w:numPr>
        <w:spacing w:line="240" w:lineRule="auto"/>
      </w:pPr>
      <w:r>
        <w:t xml:space="preserve">rekreacijska oprema (analitički konto 821335 </w:t>
      </w:r>
      <w:r w:rsidR="00BE7BF7">
        <w:t>–</w:t>
      </w:r>
      <w:r>
        <w:t xml:space="preserve"> </w:t>
      </w:r>
      <w:r w:rsidR="00BE7BF7">
        <w:t>973 KM),</w:t>
      </w:r>
    </w:p>
    <w:p w:rsidR="00914718" w:rsidRPr="00191036" w:rsidRDefault="00914718" w:rsidP="00914718">
      <w:pPr>
        <w:pStyle w:val="Uvuenotijeloteksta"/>
        <w:numPr>
          <w:ilvl w:val="0"/>
          <w:numId w:val="10"/>
        </w:numPr>
        <w:tabs>
          <w:tab w:val="left" w:pos="3402"/>
        </w:tabs>
        <w:spacing w:line="240" w:lineRule="auto"/>
      </w:pPr>
      <w:r>
        <w:t xml:space="preserve">elektronska oprema (analitički konto 821341 – </w:t>
      </w:r>
      <w:r w:rsidR="00BE7BF7">
        <w:t>4.869</w:t>
      </w:r>
      <w:r>
        <w:t xml:space="preserve"> KM)</w:t>
      </w:r>
    </w:p>
    <w:p w:rsidR="005C0693" w:rsidRDefault="005C0693" w:rsidP="00E469BF">
      <w:pPr>
        <w:pStyle w:val="Uvuenotijeloteksta"/>
        <w:numPr>
          <w:ilvl w:val="0"/>
          <w:numId w:val="10"/>
        </w:numPr>
        <w:spacing w:line="240" w:lineRule="auto"/>
      </w:pPr>
      <w:r>
        <w:t xml:space="preserve">strojevi, uređaji i alati (analitički konto 821361 – </w:t>
      </w:r>
      <w:r w:rsidR="00BE7BF7">
        <w:t>13.549</w:t>
      </w:r>
      <w:r>
        <w:t xml:space="preserve"> KM</w:t>
      </w:r>
      <w:r w:rsidR="009669B7">
        <w:t>).</w:t>
      </w:r>
      <w:r w:rsidR="0067687A">
        <w:t xml:space="preserve"> </w:t>
      </w:r>
    </w:p>
    <w:p w:rsidR="00E469BF" w:rsidRDefault="00BE7BF7" w:rsidP="00E469BF">
      <w:pPr>
        <w:pStyle w:val="Uvuenotijeloteksta"/>
        <w:spacing w:line="240" w:lineRule="auto"/>
        <w:ind w:firstLine="0"/>
      </w:pPr>
      <w:r>
        <w:t>* Napomena: u gornju strukturu uključena je i potrošnja iz tekućih pričuva.</w:t>
      </w:r>
    </w:p>
    <w:p w:rsidR="00BE7BF7" w:rsidRDefault="00BE7BF7" w:rsidP="00E469BF">
      <w:pPr>
        <w:pStyle w:val="Uvuenotijeloteksta"/>
        <w:spacing w:line="240" w:lineRule="auto"/>
        <w:ind w:firstLine="0"/>
      </w:pPr>
    </w:p>
    <w:p w:rsidR="00CD2B4B" w:rsidRPr="00CD2B4B" w:rsidRDefault="00243FD2" w:rsidP="00243FD2">
      <w:pPr>
        <w:pStyle w:val="Uvuenotijeloteksta"/>
        <w:spacing w:line="240" w:lineRule="auto"/>
        <w:ind w:firstLine="0"/>
      </w:pPr>
      <w:r>
        <w:t>U razdoblju 01.01.-</w:t>
      </w:r>
      <w:r w:rsidR="00FC3C6E">
        <w:t>30</w:t>
      </w:r>
      <w:r>
        <w:t>.0</w:t>
      </w:r>
      <w:r w:rsidR="00BE7BF7">
        <w:t>9</w:t>
      </w:r>
      <w:r>
        <w:t>.20</w:t>
      </w:r>
      <w:r w:rsidR="009669B7">
        <w:t>20</w:t>
      </w:r>
      <w:r>
        <w:t xml:space="preserve">. godine, kao i u istom razdoblju prethodne godine, nije bilo potrošnje na </w:t>
      </w:r>
      <w:r w:rsidR="00795A60" w:rsidRPr="005A361E">
        <w:rPr>
          <w:b/>
        </w:rPr>
        <w:t>nabavku stalnih sredstava u obliku prava</w:t>
      </w:r>
      <w:r w:rsidR="00795A60">
        <w:t xml:space="preserve"> (glavna skupina 821500)</w:t>
      </w:r>
      <w:r w:rsidR="00CD2B4B">
        <w:t>.</w:t>
      </w:r>
    </w:p>
    <w:p w:rsidR="00795A60" w:rsidRDefault="00795A60" w:rsidP="00E469BF">
      <w:pPr>
        <w:pStyle w:val="Uvuenotijeloteksta"/>
        <w:spacing w:line="240" w:lineRule="auto"/>
        <w:ind w:firstLine="0"/>
      </w:pPr>
    </w:p>
    <w:p w:rsidR="00FC3C6E" w:rsidRDefault="00243FD2" w:rsidP="00243FD2">
      <w:pPr>
        <w:pStyle w:val="Uvuenotijeloteksta"/>
        <w:spacing w:line="240" w:lineRule="auto"/>
        <w:ind w:firstLine="0"/>
      </w:pPr>
      <w:r>
        <w:t>U razdoblju 01.01.-</w:t>
      </w:r>
      <w:r w:rsidR="00FC3C6E">
        <w:t>30</w:t>
      </w:r>
      <w:r>
        <w:t>.0</w:t>
      </w:r>
      <w:r w:rsidR="00BE7BF7">
        <w:t>9</w:t>
      </w:r>
      <w:r>
        <w:t>.20</w:t>
      </w:r>
      <w:r w:rsidR="009669B7">
        <w:t>20</w:t>
      </w:r>
      <w:r w:rsidR="005C0693">
        <w:t>. godine</w:t>
      </w:r>
      <w:r>
        <w:t xml:space="preserve"> </w:t>
      </w:r>
      <w:r w:rsidR="0067687A">
        <w:t>na</w:t>
      </w:r>
      <w:r w:rsidRPr="00E835D3">
        <w:t xml:space="preserve"> </w:t>
      </w:r>
      <w:r w:rsidRPr="005A361E">
        <w:rPr>
          <w:b/>
        </w:rPr>
        <w:t xml:space="preserve">rekonstrukciju i investicijsko održavanje </w:t>
      </w:r>
      <w:r w:rsidR="009669B7" w:rsidRPr="005A361E">
        <w:rPr>
          <w:b/>
        </w:rPr>
        <w:t xml:space="preserve">lokalnih </w:t>
      </w:r>
      <w:r w:rsidRPr="005A361E">
        <w:rPr>
          <w:b/>
        </w:rPr>
        <w:t>cesta</w:t>
      </w:r>
      <w:r w:rsidRPr="00E835D3">
        <w:t xml:space="preserve"> </w:t>
      </w:r>
      <w:r w:rsidRPr="004720F5">
        <w:t>(potkategorija 821</w:t>
      </w:r>
      <w:r w:rsidR="009669B7">
        <w:t>5</w:t>
      </w:r>
      <w:r w:rsidRPr="004720F5">
        <w:t>00)</w:t>
      </w:r>
      <w:r w:rsidR="00FC3C6E">
        <w:t xml:space="preserve"> potrošeno je </w:t>
      </w:r>
      <w:r w:rsidR="00BE7BF7">
        <w:t xml:space="preserve">ukupno </w:t>
      </w:r>
      <w:r w:rsidR="00FC3C6E">
        <w:t>3</w:t>
      </w:r>
      <w:r w:rsidR="00BE7BF7">
        <w:t>30</w:t>
      </w:r>
      <w:r w:rsidR="00FC3C6E">
        <w:t>.</w:t>
      </w:r>
      <w:r w:rsidR="00BE7BF7">
        <w:t>737</w:t>
      </w:r>
      <w:r w:rsidR="00FC3C6E">
        <w:t xml:space="preserve"> KM ili </w:t>
      </w:r>
      <w:r w:rsidR="00BE7BF7">
        <w:t>44,10</w:t>
      </w:r>
      <w:r w:rsidR="00FC3C6E">
        <w:t>% ukupno planiranih sredstava za ove namjene</w:t>
      </w:r>
      <w:r w:rsidR="00006D51">
        <w:t>.</w:t>
      </w:r>
      <w:r w:rsidR="00FC3C6E">
        <w:t xml:space="preserve"> Sredstva su utrošena kako slijedi:</w:t>
      </w:r>
    </w:p>
    <w:p w:rsidR="00FC3C6E" w:rsidRPr="00006D51" w:rsidRDefault="00006D51" w:rsidP="00FC3C6E">
      <w:pPr>
        <w:pStyle w:val="Uvuenotijeloteksta"/>
        <w:numPr>
          <w:ilvl w:val="0"/>
          <w:numId w:val="35"/>
        </w:numPr>
        <w:spacing w:line="240" w:lineRule="auto"/>
      </w:pPr>
      <w:r w:rsidRPr="00006D51">
        <w:t xml:space="preserve">na temelju Ugovora o izvođenju građevinskih radova – ugradnja rasvjetnih tijela ulica Brodska, </w:t>
      </w:r>
      <w:proofErr w:type="spellStart"/>
      <w:r w:rsidRPr="00006D51">
        <w:t>R.Porobića</w:t>
      </w:r>
      <w:proofErr w:type="spellEnd"/>
      <w:r w:rsidRPr="00006D51">
        <w:t xml:space="preserve">, </w:t>
      </w:r>
      <w:proofErr w:type="spellStart"/>
      <w:r w:rsidRPr="00006D51">
        <w:t>S.Grebenarevića</w:t>
      </w:r>
      <w:proofErr w:type="spellEnd"/>
      <w:r w:rsidRPr="00006D51">
        <w:t xml:space="preserve">, </w:t>
      </w:r>
      <w:proofErr w:type="spellStart"/>
      <w:r w:rsidRPr="00006D51">
        <w:t>Mike</w:t>
      </w:r>
      <w:proofErr w:type="spellEnd"/>
      <w:r w:rsidRPr="00006D51">
        <w:t xml:space="preserve"> Miletića i </w:t>
      </w:r>
      <w:proofErr w:type="spellStart"/>
      <w:r w:rsidRPr="00006D51">
        <w:t>Hamzića</w:t>
      </w:r>
      <w:proofErr w:type="spellEnd"/>
      <w:r w:rsidRPr="00006D51">
        <w:t xml:space="preserve"> sokak, broj: 05-23-58-UG/20 od 04.05.2020. godine u iznosu od 6.681 KM,</w:t>
      </w:r>
    </w:p>
    <w:p w:rsidR="00FC3C6E" w:rsidRPr="00006D51" w:rsidRDefault="00006D51" w:rsidP="00FC3C6E">
      <w:pPr>
        <w:pStyle w:val="Uvuenotijeloteksta"/>
        <w:numPr>
          <w:ilvl w:val="0"/>
          <w:numId w:val="35"/>
        </w:numPr>
        <w:spacing w:line="240" w:lineRule="auto"/>
      </w:pPr>
      <w:r w:rsidRPr="00006D51">
        <w:t>na temelju Ugovora o izvođenju građevinskih radova – sanacija i rehabilitacija lokalnih cesta u općini Orašje, broj: 05-27-133-UG/19 od 05.12.2019.</w:t>
      </w:r>
      <w:r w:rsidR="00BE7BF7">
        <w:t xml:space="preserve"> godine u iznosu od 281.840 KM,</w:t>
      </w:r>
    </w:p>
    <w:p w:rsidR="00006D51" w:rsidRDefault="00006D51" w:rsidP="00FC3C6E">
      <w:pPr>
        <w:pStyle w:val="Uvuenotijeloteksta"/>
        <w:numPr>
          <w:ilvl w:val="0"/>
          <w:numId w:val="35"/>
        </w:numPr>
        <w:spacing w:line="240" w:lineRule="auto"/>
      </w:pPr>
      <w:r w:rsidRPr="00006D51">
        <w:t>na temelju Ugovora o izvođenju građevinskih radova – sanacija i rehabilitacija lokalnih cesta u općini Odžak, broj: 05-27-123-UG/19 od 07.11.201</w:t>
      </w:r>
      <w:r w:rsidR="00BE7BF7">
        <w:t>9. godine u iznosu od 22.409 KM,</w:t>
      </w:r>
    </w:p>
    <w:p w:rsidR="00BE7BF7" w:rsidRDefault="00BE7BF7" w:rsidP="00FC3C6E">
      <w:pPr>
        <w:pStyle w:val="Uvuenotijeloteksta"/>
        <w:numPr>
          <w:ilvl w:val="0"/>
          <w:numId w:val="35"/>
        </w:numPr>
        <w:spacing w:line="240" w:lineRule="auto"/>
      </w:pPr>
      <w:r>
        <w:lastRenderedPageBreak/>
        <w:t>na temelju Ugovora o izvođenju građevinskih radova – nabavka</w:t>
      </w:r>
      <w:r w:rsidR="00593E12">
        <w:t>, transport i ugradnja betonskih bandera na pješačkoj stazi u ulici Franjevačkoj u Donjoj Mahali</w:t>
      </w:r>
      <w:r>
        <w:t xml:space="preserve">, broj: 05-23-85-UG/20 od 24.06.2020. godine u iznosu od </w:t>
      </w:r>
      <w:r w:rsidR="00593E12">
        <w:t>7.014 KM,</w:t>
      </w:r>
    </w:p>
    <w:p w:rsidR="00593E12" w:rsidRDefault="00593E12" w:rsidP="00FC3C6E">
      <w:pPr>
        <w:pStyle w:val="Uvuenotijeloteksta"/>
        <w:numPr>
          <w:ilvl w:val="0"/>
          <w:numId w:val="35"/>
        </w:numPr>
        <w:spacing w:line="240" w:lineRule="auto"/>
      </w:pPr>
      <w:r>
        <w:t xml:space="preserve">na temelju Ugovora o izvođenju građevinskih radova – ugradnja rasvjetnih tijela u </w:t>
      </w:r>
      <w:proofErr w:type="spellStart"/>
      <w:r>
        <w:t>XVI.muslimanske</w:t>
      </w:r>
      <w:proofErr w:type="spellEnd"/>
      <w:r>
        <w:t xml:space="preserve">, Turbe Bosne put prema Adi, sokak </w:t>
      </w:r>
      <w:proofErr w:type="spellStart"/>
      <w:r>
        <w:t>Hamzića</w:t>
      </w:r>
      <w:proofErr w:type="spellEnd"/>
      <w:r>
        <w:t xml:space="preserve">, </w:t>
      </w:r>
      <w:proofErr w:type="spellStart"/>
      <w:r>
        <w:t>A.Šapčanina</w:t>
      </w:r>
      <w:proofErr w:type="spellEnd"/>
      <w:r>
        <w:t xml:space="preserve"> i Titovoj u Odžaku, broj: 05-23-86-UG/18 od 26.06.2020. godine u iznosu od 5.850 KM, i</w:t>
      </w:r>
    </w:p>
    <w:p w:rsidR="00593E12" w:rsidRPr="00006D51" w:rsidRDefault="00593E12" w:rsidP="00FC3C6E">
      <w:pPr>
        <w:pStyle w:val="Uvuenotijeloteksta"/>
        <w:numPr>
          <w:ilvl w:val="0"/>
          <w:numId w:val="35"/>
        </w:numPr>
        <w:spacing w:line="240" w:lineRule="auto"/>
      </w:pPr>
      <w:r>
        <w:t xml:space="preserve">na temelju Ugovora o nadzoru nad sanacijom i rehabilitacijom lokalnih cesta u Općini Orašje, broj: </w:t>
      </w:r>
      <w:r w:rsidR="00F67F1F">
        <w:t>05-27-133-NAD-UG/19 od 27.11.2019. godine u iznosu od 6.943 KM.</w:t>
      </w:r>
    </w:p>
    <w:p w:rsidR="00FC3C6E" w:rsidRDefault="00FC3C6E" w:rsidP="00FC3C6E">
      <w:pPr>
        <w:pStyle w:val="Uvuenotijeloteksta"/>
        <w:spacing w:line="240" w:lineRule="auto"/>
        <w:ind w:firstLine="0"/>
      </w:pPr>
    </w:p>
    <w:p w:rsidR="00243FD2" w:rsidRDefault="00FC3C6E" w:rsidP="00FC3C6E">
      <w:pPr>
        <w:pStyle w:val="Uvuenotijeloteksta"/>
        <w:spacing w:line="240" w:lineRule="auto"/>
        <w:ind w:firstLine="0"/>
      </w:pPr>
      <w:r>
        <w:t>N</w:t>
      </w:r>
      <w:r w:rsidR="009669B7">
        <w:t xml:space="preserve">a </w:t>
      </w:r>
      <w:r w:rsidR="009669B7" w:rsidRPr="005A361E">
        <w:rPr>
          <w:b/>
        </w:rPr>
        <w:t>rekonstrukciju i investicijsko održavanje regionalnih cesta</w:t>
      </w:r>
      <w:r w:rsidR="009669B7" w:rsidRPr="00E835D3">
        <w:t xml:space="preserve"> </w:t>
      </w:r>
      <w:r w:rsidR="009669B7" w:rsidRPr="004720F5">
        <w:t>(potkategorija 821</w:t>
      </w:r>
      <w:r w:rsidR="009669B7">
        <w:t>6</w:t>
      </w:r>
      <w:r w:rsidR="009669B7" w:rsidRPr="004720F5">
        <w:t>00)</w:t>
      </w:r>
      <w:r>
        <w:t xml:space="preserve"> u izvještajnom razdoblju </w:t>
      </w:r>
      <w:r w:rsidR="00F67F1F">
        <w:t>potrošeno je ukupno 76.859 KM ili 19,21% ukupno planiranih sredstava za ove namjene</w:t>
      </w:r>
      <w:r>
        <w:t>.</w:t>
      </w:r>
      <w:r w:rsidR="00F67F1F">
        <w:t xml:space="preserve"> Sredstva su utrošena kako slijedi:</w:t>
      </w:r>
    </w:p>
    <w:p w:rsidR="00F67F1F" w:rsidRDefault="00F67F1F" w:rsidP="00F67F1F">
      <w:pPr>
        <w:pStyle w:val="Uvuenotijeloteksta"/>
        <w:numPr>
          <w:ilvl w:val="0"/>
          <w:numId w:val="35"/>
        </w:numPr>
        <w:spacing w:line="240" w:lineRule="auto"/>
      </w:pPr>
      <w:r>
        <w:t>na temelju Ugovora o izradi projektne dokumentacije „Nogostup i biciklistička staza uz RC-463“, broj: 05-23-78/20 od 11.06.2020.godine u iznosu od 585 KM,</w:t>
      </w:r>
    </w:p>
    <w:p w:rsidR="00F67F1F" w:rsidRDefault="00F67F1F" w:rsidP="00F67F1F">
      <w:pPr>
        <w:pStyle w:val="Uvuenotijeloteksta"/>
        <w:numPr>
          <w:ilvl w:val="0"/>
          <w:numId w:val="35"/>
        </w:numPr>
        <w:spacing w:line="240" w:lineRule="auto"/>
      </w:pPr>
      <w:r>
        <w:t xml:space="preserve">na temelju Ugovora o izvođenju građevinskih radova – radovi na sanaciji i rekonstrukciji regionalnih cesta u Županiji Posavskoj za 2020. godinu – LOT 2. Sanacija i rekonstrukcija RC 464a Odžak-Donji </w:t>
      </w:r>
      <w:proofErr w:type="spellStart"/>
      <w:r>
        <w:t>Svilaj</w:t>
      </w:r>
      <w:proofErr w:type="spellEnd"/>
      <w:r>
        <w:t>, broj: 05-23-68-UG-LOT 2/20 od 21.07.2020. godine u iznosu od 69.898 KM, i</w:t>
      </w:r>
    </w:p>
    <w:p w:rsidR="00F67F1F" w:rsidRDefault="00F67F1F" w:rsidP="00F67F1F">
      <w:pPr>
        <w:pStyle w:val="Uvuenotijeloteksta"/>
        <w:numPr>
          <w:ilvl w:val="0"/>
          <w:numId w:val="35"/>
        </w:numPr>
        <w:spacing w:line="240" w:lineRule="auto"/>
      </w:pPr>
      <w:r>
        <w:t xml:space="preserve">na temelju Ugovora o izvođenju građevinskih radova – nabavka, transport i ugradnja betonskih </w:t>
      </w:r>
      <w:proofErr w:type="spellStart"/>
      <w:r>
        <w:t>stubova</w:t>
      </w:r>
      <w:proofErr w:type="spellEnd"/>
      <w:r>
        <w:t xml:space="preserve"> u ulici Franjevačkoj u Donjoj Mahali, broj: </w:t>
      </w:r>
      <w:r w:rsidR="00F514D8">
        <w:t>05-23-127-UG/20</w:t>
      </w:r>
      <w:r>
        <w:t xml:space="preserve"> od </w:t>
      </w:r>
      <w:r w:rsidR="00F514D8">
        <w:t>17.09</w:t>
      </w:r>
      <w:r>
        <w:t xml:space="preserve">.2020. godine u iznosu od </w:t>
      </w:r>
      <w:r w:rsidR="00F514D8">
        <w:t>6.376 KM.</w:t>
      </w:r>
    </w:p>
    <w:p w:rsidR="00EC3209" w:rsidRDefault="00EC3209" w:rsidP="00E469BF">
      <w:pPr>
        <w:pStyle w:val="Uvuenotijeloteksta"/>
        <w:spacing w:line="240" w:lineRule="auto"/>
        <w:ind w:firstLine="0"/>
      </w:pPr>
    </w:p>
    <w:p w:rsidR="005A361E" w:rsidRPr="004C0792" w:rsidRDefault="005A361E" w:rsidP="005A361E">
      <w:pPr>
        <w:pStyle w:val="Tijeloteksta"/>
        <w:spacing w:after="0"/>
        <w:jc w:val="both"/>
        <w:rPr>
          <w:color w:val="000000"/>
          <w:lang w:eastAsia="hr-HR"/>
        </w:rPr>
      </w:pPr>
      <w:proofErr w:type="spellStart"/>
      <w:r>
        <w:t>O</w:t>
      </w:r>
      <w:r w:rsidRPr="005C3411">
        <w:t>d</w:t>
      </w:r>
      <w:proofErr w:type="spellEnd"/>
      <w:r w:rsidRPr="005C3411">
        <w:t xml:space="preserve"> </w:t>
      </w:r>
      <w:proofErr w:type="spellStart"/>
      <w:r w:rsidRPr="005C3411">
        <w:t>ukupno</w:t>
      </w:r>
      <w:proofErr w:type="spellEnd"/>
      <w:r w:rsidRPr="005C3411">
        <w:t xml:space="preserve"> </w:t>
      </w:r>
      <w:proofErr w:type="spellStart"/>
      <w:r>
        <w:t>izvršenih</w:t>
      </w:r>
      <w:proofErr w:type="spellEnd"/>
      <w:r w:rsidRPr="005C3411">
        <w:t xml:space="preserve"> </w:t>
      </w:r>
      <w:proofErr w:type="spellStart"/>
      <w:r>
        <w:t>izdataka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</w:t>
      </w:r>
      <w:proofErr w:type="spellStart"/>
      <w:r>
        <w:t>nefinancijske</w:t>
      </w:r>
      <w:proofErr w:type="spellEnd"/>
      <w:r>
        <w:t xml:space="preserve"> </w:t>
      </w:r>
      <w:proofErr w:type="spellStart"/>
      <w:r>
        <w:t>imovine</w:t>
      </w:r>
      <w:proofErr w:type="spellEnd"/>
      <w:r w:rsidRPr="005C3411">
        <w:t xml:space="preserve"> </w:t>
      </w:r>
      <w:r>
        <w:t>24,</w:t>
      </w:r>
      <w:r w:rsidR="00F514D8">
        <w:t>13</w:t>
      </w:r>
      <w:r w:rsidRPr="005C3411">
        <w:t xml:space="preserve">% </w:t>
      </w:r>
      <w:proofErr w:type="spellStart"/>
      <w:r>
        <w:t>financirano</w:t>
      </w:r>
      <w:proofErr w:type="spellEnd"/>
      <w:r>
        <w:t xml:space="preserve"> je</w:t>
      </w:r>
      <w:r w:rsidRPr="005C3411">
        <w:t xml:space="preserve"> </w:t>
      </w:r>
      <w:proofErr w:type="spellStart"/>
      <w:r w:rsidRPr="005C3411">
        <w:t>iz</w:t>
      </w:r>
      <w:proofErr w:type="spellEnd"/>
      <w:r w:rsidRPr="005C3411">
        <w:t xml:space="preserve"> </w:t>
      </w:r>
      <w:proofErr w:type="spellStart"/>
      <w:r w:rsidRPr="005C3411">
        <w:t>proračunskih</w:t>
      </w:r>
      <w:proofErr w:type="spellEnd"/>
      <w:r w:rsidRPr="005C3411">
        <w:t xml:space="preserve"> </w:t>
      </w:r>
      <w:proofErr w:type="spellStart"/>
      <w:r w:rsidRPr="005C3411">
        <w:t>prihoda</w:t>
      </w:r>
      <w:proofErr w:type="spellEnd"/>
      <w:r w:rsidRPr="005C3411">
        <w:t xml:space="preserve"> (</w:t>
      </w:r>
      <w:r w:rsidR="00F514D8">
        <w:t>218.864</w:t>
      </w:r>
      <w:r w:rsidRPr="005C3411">
        <w:t xml:space="preserve"> KM), </w:t>
      </w:r>
      <w:proofErr w:type="spellStart"/>
      <w:r w:rsidRPr="005C3411">
        <w:t>dok</w:t>
      </w:r>
      <w:proofErr w:type="spellEnd"/>
      <w:r w:rsidRPr="005C3411">
        <w:t xml:space="preserve"> </w:t>
      </w:r>
      <w:r>
        <w:t>je</w:t>
      </w:r>
      <w:r w:rsidRPr="005C3411">
        <w:t xml:space="preserve"> </w:t>
      </w:r>
      <w:r>
        <w:t>75,</w:t>
      </w:r>
      <w:r w:rsidR="00F514D8">
        <w:t>87</w:t>
      </w:r>
      <w:r w:rsidRPr="005C3411">
        <w:t xml:space="preserve">% </w:t>
      </w:r>
      <w:proofErr w:type="spellStart"/>
      <w:r w:rsidRPr="005C3411">
        <w:t>ili</w:t>
      </w:r>
      <w:proofErr w:type="spellEnd"/>
      <w:r w:rsidRPr="005C3411">
        <w:t xml:space="preserve"> </w:t>
      </w:r>
      <w:r w:rsidR="00F514D8">
        <w:t>688.029</w:t>
      </w:r>
      <w:r w:rsidRPr="005C3411">
        <w:t xml:space="preserve"> KM </w:t>
      </w:r>
      <w:proofErr w:type="spellStart"/>
      <w:r>
        <w:t>financirano</w:t>
      </w:r>
      <w:proofErr w:type="spellEnd"/>
      <w:r w:rsidRPr="005C3411">
        <w:t xml:space="preserve"> </w:t>
      </w:r>
      <w:proofErr w:type="spellStart"/>
      <w:r w:rsidRPr="005C3411">
        <w:t>iz</w:t>
      </w:r>
      <w:proofErr w:type="spellEnd"/>
      <w:r w:rsidRPr="005C3411">
        <w:t xml:space="preserve"> </w:t>
      </w:r>
      <w:proofErr w:type="spellStart"/>
      <w:r w:rsidRPr="005C3411">
        <w:t>ostalih</w:t>
      </w:r>
      <w:proofErr w:type="spellEnd"/>
      <w:r w:rsidRPr="005C3411">
        <w:t xml:space="preserve"> </w:t>
      </w:r>
      <w:proofErr w:type="spellStart"/>
      <w:r w:rsidRPr="005C3411">
        <w:t>izvora</w:t>
      </w:r>
      <w:proofErr w:type="spellEnd"/>
      <w:r w:rsidRPr="005C3411">
        <w:t xml:space="preserve"> (</w:t>
      </w:r>
      <w:proofErr w:type="spellStart"/>
      <w:r w:rsidRPr="005C3411">
        <w:t>namjenski</w:t>
      </w:r>
      <w:proofErr w:type="spellEnd"/>
      <w:r w:rsidRPr="005C3411">
        <w:t xml:space="preserve"> </w:t>
      </w:r>
      <w:proofErr w:type="spellStart"/>
      <w:r w:rsidRPr="005C3411">
        <w:t>prihodi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transferi</w:t>
      </w:r>
      <w:proofErr w:type="spellEnd"/>
      <w:r w:rsidRPr="005C3411">
        <w:t>).</w:t>
      </w:r>
    </w:p>
    <w:p w:rsidR="005A361E" w:rsidRDefault="005A361E" w:rsidP="00E469BF">
      <w:pPr>
        <w:pStyle w:val="Uvuenotijeloteksta"/>
        <w:spacing w:line="240" w:lineRule="auto"/>
        <w:ind w:firstLine="0"/>
      </w:pPr>
    </w:p>
    <w:p w:rsidR="00EC3209" w:rsidRDefault="00EC3209" w:rsidP="00E469BF">
      <w:pPr>
        <w:pStyle w:val="Uvuenotijeloteksta"/>
        <w:spacing w:line="240" w:lineRule="auto"/>
        <w:ind w:firstLine="0"/>
      </w:pPr>
    </w:p>
    <w:p w:rsidR="00890C24" w:rsidRPr="00617F28" w:rsidRDefault="00890C24" w:rsidP="00122F5D">
      <w:pPr>
        <w:jc w:val="both"/>
        <w:rPr>
          <w:b/>
          <w:szCs w:val="24"/>
        </w:rPr>
      </w:pPr>
      <w:r>
        <w:rPr>
          <w:b/>
          <w:szCs w:val="24"/>
        </w:rPr>
        <w:t>6</w:t>
      </w:r>
      <w:r w:rsidRPr="00617F28">
        <w:rPr>
          <w:b/>
          <w:szCs w:val="24"/>
        </w:rPr>
        <w:tab/>
      </w:r>
      <w:r>
        <w:rPr>
          <w:b/>
          <w:szCs w:val="24"/>
        </w:rPr>
        <w:t>NETO NABAVKA NEFINANCIJSKE IMOVINE</w:t>
      </w:r>
    </w:p>
    <w:p w:rsidR="009554E4" w:rsidRDefault="009554E4" w:rsidP="00122F5D">
      <w:pPr>
        <w:pStyle w:val="Uvuenotijeloteksta"/>
        <w:spacing w:line="240" w:lineRule="auto"/>
        <w:ind w:firstLine="0"/>
      </w:pPr>
    </w:p>
    <w:p w:rsidR="009554E4" w:rsidRDefault="005C28B3" w:rsidP="00122F5D">
      <w:pPr>
        <w:pStyle w:val="Uvuenotijeloteksta"/>
        <w:spacing w:line="240" w:lineRule="auto"/>
        <w:ind w:firstLine="0"/>
      </w:pPr>
      <w:r>
        <w:t>Obzirom da u razdoblju 01.01.-</w:t>
      </w:r>
      <w:r w:rsidR="00C745F1">
        <w:t>30</w:t>
      </w:r>
      <w:r w:rsidR="006807A3">
        <w:t>.0</w:t>
      </w:r>
      <w:r w:rsidR="00F514D8">
        <w:t>9</w:t>
      </w:r>
      <w:r w:rsidR="006807A3">
        <w:t>.20</w:t>
      </w:r>
      <w:r w:rsidR="009669B7">
        <w:t>20</w:t>
      </w:r>
      <w:r w:rsidR="006807A3">
        <w:t>. godine primi</w:t>
      </w:r>
      <w:r w:rsidR="0067687A">
        <w:t>ci</w:t>
      </w:r>
      <w:r w:rsidR="006807A3">
        <w:t xml:space="preserve"> </w:t>
      </w:r>
      <w:r w:rsidR="00A14F63">
        <w:t xml:space="preserve">od prodaje nefinancijske imovine, </w:t>
      </w:r>
      <w:r w:rsidR="0067687A">
        <w:t xml:space="preserve">iznosili </w:t>
      </w:r>
      <w:r w:rsidR="00C745F1">
        <w:t>6.113</w:t>
      </w:r>
      <w:r w:rsidR="0067687A">
        <w:t xml:space="preserve"> KM, </w:t>
      </w:r>
      <w:r w:rsidR="00A14F63">
        <w:t xml:space="preserve">dok je istovremeno na nabavku nefinancijske imovine utrošeno </w:t>
      </w:r>
      <w:r w:rsidR="00F514D8">
        <w:t>906.893</w:t>
      </w:r>
      <w:r w:rsidR="00A14F63">
        <w:t xml:space="preserve"> KM,</w:t>
      </w:r>
      <w:r w:rsidR="006807A3">
        <w:t xml:space="preserve"> </w:t>
      </w:r>
      <w:r w:rsidR="00890C24">
        <w:t xml:space="preserve">neto nabavka </w:t>
      </w:r>
      <w:r w:rsidR="00AF0722">
        <w:t>ne</w:t>
      </w:r>
      <w:r w:rsidR="00890C24">
        <w:t xml:space="preserve">financijske imovine Proračuna Županije Posavske </w:t>
      </w:r>
      <w:r w:rsidR="0067687A">
        <w:t xml:space="preserve">za promatrano razdoblje </w:t>
      </w:r>
      <w:r w:rsidR="008C3C96">
        <w:t xml:space="preserve">iznosi </w:t>
      </w:r>
      <w:r w:rsidR="001C50E3">
        <w:t>-</w:t>
      </w:r>
      <w:r w:rsidR="00F514D8">
        <w:t>900.780</w:t>
      </w:r>
      <w:r w:rsidR="00890C24">
        <w:t xml:space="preserve"> KM.</w:t>
      </w:r>
    </w:p>
    <w:p w:rsidR="00890C24" w:rsidRDefault="00890C24" w:rsidP="00122F5D">
      <w:pPr>
        <w:widowControl/>
        <w:jc w:val="center"/>
        <w:rPr>
          <w:rFonts w:eastAsia="Times New Roman"/>
          <w:szCs w:val="24"/>
        </w:rPr>
      </w:pPr>
      <w:r>
        <w:rPr>
          <w:rFonts w:eastAsia="Times New Roman"/>
          <w:noProof/>
          <w:szCs w:val="24"/>
          <w:lang w:eastAsia="hr-HR"/>
        </w:rPr>
        <w:drawing>
          <wp:inline distT="0" distB="0" distL="0" distR="0">
            <wp:extent cx="5044141" cy="2223247"/>
            <wp:effectExtent l="0" t="0" r="4109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D0527" w:rsidRDefault="00AD0527" w:rsidP="009554E4">
      <w:pPr>
        <w:pStyle w:val="Uvuenotijeloteksta"/>
        <w:spacing w:line="240" w:lineRule="auto"/>
        <w:ind w:firstLine="0"/>
        <w:rPr>
          <w:sz w:val="12"/>
          <w:szCs w:val="12"/>
        </w:rPr>
      </w:pPr>
    </w:p>
    <w:p w:rsidR="00374308" w:rsidRDefault="00374308" w:rsidP="00122F5D">
      <w:pPr>
        <w:jc w:val="both"/>
        <w:rPr>
          <w:b/>
          <w:szCs w:val="24"/>
        </w:rPr>
      </w:pPr>
    </w:p>
    <w:p w:rsidR="00374308" w:rsidRDefault="00374308" w:rsidP="00122F5D">
      <w:pPr>
        <w:jc w:val="both"/>
        <w:rPr>
          <w:b/>
          <w:szCs w:val="24"/>
        </w:rPr>
      </w:pPr>
    </w:p>
    <w:p w:rsidR="00374308" w:rsidRDefault="00374308" w:rsidP="00122F5D">
      <w:pPr>
        <w:jc w:val="both"/>
        <w:rPr>
          <w:b/>
          <w:szCs w:val="24"/>
        </w:rPr>
      </w:pPr>
    </w:p>
    <w:p w:rsidR="00063C32" w:rsidRPr="00617F28" w:rsidRDefault="00063C32" w:rsidP="00122F5D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7</w:t>
      </w:r>
      <w:r w:rsidRPr="00617F28">
        <w:rPr>
          <w:b/>
          <w:szCs w:val="24"/>
        </w:rPr>
        <w:tab/>
      </w:r>
      <w:r>
        <w:rPr>
          <w:b/>
          <w:szCs w:val="24"/>
        </w:rPr>
        <w:t>UKUPAN SUFICIT/DEFICIT</w:t>
      </w:r>
    </w:p>
    <w:p w:rsidR="00063C32" w:rsidRDefault="00063C32" w:rsidP="00122F5D">
      <w:pPr>
        <w:pStyle w:val="Uvuenotijeloteksta"/>
        <w:spacing w:line="240" w:lineRule="auto"/>
        <w:ind w:firstLine="0"/>
      </w:pPr>
    </w:p>
    <w:p w:rsidR="00063C32" w:rsidRDefault="00063C32" w:rsidP="00122F5D">
      <w:pPr>
        <w:pStyle w:val="Uvuenotijeloteksta"/>
        <w:spacing w:line="240" w:lineRule="auto"/>
        <w:ind w:firstLine="0"/>
      </w:pPr>
      <w:r>
        <w:t>U razdoblju 01.01.-</w:t>
      </w:r>
      <w:r w:rsidR="00C745F1">
        <w:t>30</w:t>
      </w:r>
      <w:r>
        <w:t>.0</w:t>
      </w:r>
      <w:r w:rsidR="00F514D8">
        <w:t>9</w:t>
      </w:r>
      <w:r>
        <w:t>.20</w:t>
      </w:r>
      <w:r w:rsidR="001C50E3">
        <w:t>20</w:t>
      </w:r>
      <w:r>
        <w:t xml:space="preserve">. godine Proračun Županije Posavske je ostvario ukupan suficit </w:t>
      </w:r>
      <w:r w:rsidR="00A14F63">
        <w:t xml:space="preserve">(suma tekućeg suficita i neto nabavke nefinancijske imovine) </w:t>
      </w:r>
      <w:r>
        <w:t xml:space="preserve">u iznosu od </w:t>
      </w:r>
      <w:r w:rsidR="00F514D8">
        <w:t>7.143.353</w:t>
      </w:r>
      <w:r>
        <w:t xml:space="preserve"> KM.</w:t>
      </w:r>
    </w:p>
    <w:p w:rsidR="00063C32" w:rsidRDefault="00063C32" w:rsidP="00122F5D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drawing>
          <wp:inline distT="0" distB="0" distL="0" distR="0">
            <wp:extent cx="4852894" cy="1966259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C77C7" w:rsidRDefault="000C77C7" w:rsidP="00063C32">
      <w:pPr>
        <w:jc w:val="both"/>
        <w:rPr>
          <w:b/>
          <w:szCs w:val="24"/>
        </w:rPr>
      </w:pPr>
    </w:p>
    <w:p w:rsidR="001C50E3" w:rsidRDefault="001C50E3" w:rsidP="00063C32">
      <w:pPr>
        <w:jc w:val="both"/>
        <w:rPr>
          <w:b/>
          <w:szCs w:val="24"/>
        </w:rPr>
      </w:pPr>
    </w:p>
    <w:p w:rsidR="00063C32" w:rsidRPr="00617F28" w:rsidRDefault="00063C32" w:rsidP="00063C32">
      <w:pPr>
        <w:jc w:val="both"/>
        <w:rPr>
          <w:b/>
          <w:szCs w:val="24"/>
        </w:rPr>
      </w:pPr>
      <w:r>
        <w:rPr>
          <w:b/>
          <w:szCs w:val="24"/>
        </w:rPr>
        <w:t>8</w:t>
      </w:r>
      <w:r w:rsidRPr="00617F28">
        <w:rPr>
          <w:b/>
          <w:szCs w:val="24"/>
        </w:rPr>
        <w:tab/>
      </w:r>
      <w:r>
        <w:rPr>
          <w:b/>
          <w:szCs w:val="24"/>
        </w:rPr>
        <w:t>PRIMICI OD FINANCIJSKE IMOVINE I ZADUŽIVANJA</w:t>
      </w:r>
    </w:p>
    <w:p w:rsidR="009554E4" w:rsidRDefault="00063C32" w:rsidP="009554E4">
      <w:pPr>
        <w:pStyle w:val="Tijeloteksta"/>
        <w:spacing w:before="120"/>
        <w:jc w:val="both"/>
        <w:rPr>
          <w:lang w:val="hr-HR"/>
        </w:rPr>
      </w:pPr>
      <w:r>
        <w:rPr>
          <w:lang w:val="hr-HR"/>
        </w:rPr>
        <w:t>U razdoblju 01.01.-</w:t>
      </w:r>
      <w:r w:rsidR="00C745F1">
        <w:rPr>
          <w:lang w:val="hr-HR"/>
        </w:rPr>
        <w:t>30</w:t>
      </w:r>
      <w:r>
        <w:rPr>
          <w:lang w:val="hr-HR"/>
        </w:rPr>
        <w:t>.0</w:t>
      </w:r>
      <w:r w:rsidR="00F514D8">
        <w:rPr>
          <w:lang w:val="hr-HR"/>
        </w:rPr>
        <w:t>9</w:t>
      </w:r>
      <w:r>
        <w:rPr>
          <w:lang w:val="hr-HR"/>
        </w:rPr>
        <w:t>.20</w:t>
      </w:r>
      <w:r w:rsidR="001C50E3">
        <w:rPr>
          <w:lang w:val="hr-HR"/>
        </w:rPr>
        <w:t>20</w:t>
      </w:r>
      <w:r>
        <w:rPr>
          <w:lang w:val="hr-HR"/>
        </w:rPr>
        <w:t xml:space="preserve">. godine nisu planirani niti realizirani primici od financijske imovine i zaduživanja </w:t>
      </w:r>
      <w:r w:rsidR="009554E4">
        <w:rPr>
          <w:lang w:val="hr-HR"/>
        </w:rPr>
        <w:t>(potkategorij</w:t>
      </w:r>
      <w:r>
        <w:rPr>
          <w:lang w:val="hr-HR"/>
        </w:rPr>
        <w:t xml:space="preserve">e </w:t>
      </w:r>
      <w:r w:rsidR="009554E4">
        <w:rPr>
          <w:lang w:val="hr-HR"/>
        </w:rPr>
        <w:t>8</w:t>
      </w:r>
      <w:r>
        <w:rPr>
          <w:lang w:val="hr-HR"/>
        </w:rPr>
        <w:t>1</w:t>
      </w:r>
      <w:r w:rsidR="009554E4">
        <w:rPr>
          <w:lang w:val="hr-HR"/>
        </w:rPr>
        <w:t>3000</w:t>
      </w:r>
      <w:r>
        <w:rPr>
          <w:lang w:val="hr-HR"/>
        </w:rPr>
        <w:t>, 814000 i 815000</w:t>
      </w:r>
      <w:r w:rsidR="009554E4">
        <w:rPr>
          <w:lang w:val="hr-HR"/>
        </w:rPr>
        <w:t>).</w:t>
      </w:r>
    </w:p>
    <w:p w:rsidR="00307442" w:rsidRDefault="00307442" w:rsidP="009554E4">
      <w:pPr>
        <w:pStyle w:val="Tijeloteksta"/>
        <w:spacing w:before="120"/>
        <w:jc w:val="both"/>
        <w:rPr>
          <w:lang w:val="hr-HR"/>
        </w:rPr>
      </w:pPr>
    </w:p>
    <w:p w:rsidR="00063C32" w:rsidRPr="00617F28" w:rsidRDefault="00063C32" w:rsidP="00063C32">
      <w:pPr>
        <w:jc w:val="both"/>
        <w:rPr>
          <w:b/>
          <w:szCs w:val="24"/>
        </w:rPr>
      </w:pPr>
      <w:r>
        <w:rPr>
          <w:b/>
          <w:szCs w:val="24"/>
        </w:rPr>
        <w:t>9</w:t>
      </w:r>
      <w:r w:rsidRPr="00617F28">
        <w:rPr>
          <w:b/>
          <w:szCs w:val="24"/>
        </w:rPr>
        <w:tab/>
      </w:r>
      <w:r>
        <w:rPr>
          <w:b/>
          <w:szCs w:val="24"/>
        </w:rPr>
        <w:t>IZDACI ZA NABAVKU FINANCIJSKE IMOVINE I OTPLATE DUGOVA</w:t>
      </w:r>
    </w:p>
    <w:p w:rsidR="00C745F1" w:rsidRDefault="00122F5D" w:rsidP="00C745F1">
      <w:pPr>
        <w:pStyle w:val="Tijeloteksta"/>
        <w:spacing w:before="120"/>
        <w:jc w:val="both"/>
      </w:pPr>
      <w:r>
        <w:rPr>
          <w:lang w:val="hr-HR"/>
        </w:rPr>
        <w:t xml:space="preserve">Izdaci za nabavku financijske imovine i otplate dugova (potkategorije 822000 i 823000) </w:t>
      </w:r>
      <w:r w:rsidR="00C745F1">
        <w:rPr>
          <w:lang w:val="hr-HR"/>
        </w:rPr>
        <w:t>realizirani</w:t>
      </w:r>
      <w:r>
        <w:rPr>
          <w:lang w:val="hr-HR"/>
        </w:rPr>
        <w:t xml:space="preserve"> su u iznosu od </w:t>
      </w:r>
      <w:r w:rsidR="00F514D8">
        <w:rPr>
          <w:lang w:val="hr-HR"/>
        </w:rPr>
        <w:t>514.992</w:t>
      </w:r>
      <w:r>
        <w:rPr>
          <w:lang w:val="hr-HR"/>
        </w:rPr>
        <w:t xml:space="preserve"> KM i odnose se na </w:t>
      </w:r>
      <w:r w:rsidR="00C745F1">
        <w:rPr>
          <w:lang w:val="hr-HR"/>
        </w:rPr>
        <w:t>vanjske otplate</w:t>
      </w:r>
      <w:r>
        <w:rPr>
          <w:lang w:val="hr-HR"/>
        </w:rPr>
        <w:t xml:space="preserve"> za</w:t>
      </w:r>
      <w:r w:rsidR="001C50E3">
        <w:rPr>
          <w:lang w:val="hr-HR"/>
        </w:rPr>
        <w:t xml:space="preserve"> </w:t>
      </w:r>
      <w:r w:rsidR="005C28B3" w:rsidRPr="00A12B5C">
        <w:rPr>
          <w:lang w:val="hr-HR"/>
        </w:rPr>
        <w:t xml:space="preserve">glavnice kredita </w:t>
      </w:r>
      <w:proofErr w:type="spellStart"/>
      <w:r w:rsidR="005C28B3" w:rsidRPr="00A12B5C">
        <w:rPr>
          <w:lang w:val="hr-HR"/>
        </w:rPr>
        <w:t>UniCredit</w:t>
      </w:r>
      <w:proofErr w:type="spellEnd"/>
      <w:r w:rsidR="005C28B3" w:rsidRPr="00A12B5C">
        <w:rPr>
          <w:lang w:val="hr-HR"/>
        </w:rPr>
        <w:t xml:space="preserve"> bank </w:t>
      </w:r>
      <w:proofErr w:type="spellStart"/>
      <w:r w:rsidR="005C28B3" w:rsidRPr="00A12B5C">
        <w:rPr>
          <w:lang w:val="hr-HR"/>
        </w:rPr>
        <w:t>Austria</w:t>
      </w:r>
      <w:proofErr w:type="spellEnd"/>
      <w:r w:rsidR="005C28B3" w:rsidRPr="00A12B5C">
        <w:rPr>
          <w:lang w:val="hr-HR"/>
        </w:rPr>
        <w:t xml:space="preserve"> AG za financiranje projekta nabave, instalacije, obuke i održavanja medicinske i nemedicinske opreme i uslu</w:t>
      </w:r>
      <w:r w:rsidR="00C745F1">
        <w:rPr>
          <w:lang w:val="hr-HR"/>
        </w:rPr>
        <w:t xml:space="preserve">ga u Županijskoj bolnici Orašje u iznosu od </w:t>
      </w:r>
      <w:r w:rsidR="00F514D8">
        <w:rPr>
          <w:lang w:val="hr-HR"/>
        </w:rPr>
        <w:t>430.283</w:t>
      </w:r>
      <w:r w:rsidR="00C745F1">
        <w:rPr>
          <w:lang w:val="hr-HR"/>
        </w:rPr>
        <w:t xml:space="preserve"> KM, te </w:t>
      </w:r>
      <w:r w:rsidR="00F514D8">
        <w:rPr>
          <w:lang w:val="hr-HR"/>
        </w:rPr>
        <w:t>84.709</w:t>
      </w:r>
      <w:r w:rsidR="00C745F1">
        <w:rPr>
          <w:lang w:val="hr-HR"/>
        </w:rPr>
        <w:t xml:space="preserve"> KM za glavnicu </w:t>
      </w:r>
      <w:proofErr w:type="spellStart"/>
      <w:r w:rsidR="00C745F1" w:rsidRPr="00E51946">
        <w:t>kredit</w:t>
      </w:r>
      <w:r w:rsidR="00C745F1">
        <w:t>a</w:t>
      </w:r>
      <w:proofErr w:type="spellEnd"/>
      <w:r w:rsidR="00C745F1" w:rsidRPr="00E51946">
        <w:t xml:space="preserve"> Export-Import </w:t>
      </w:r>
      <w:proofErr w:type="spellStart"/>
      <w:r w:rsidR="00C745F1" w:rsidRPr="00E51946">
        <w:t>banke</w:t>
      </w:r>
      <w:proofErr w:type="spellEnd"/>
      <w:r w:rsidR="00C745F1" w:rsidRPr="00E51946">
        <w:t xml:space="preserve"> </w:t>
      </w:r>
      <w:proofErr w:type="spellStart"/>
      <w:r w:rsidR="00C745F1" w:rsidRPr="00E51946">
        <w:t>Koreja</w:t>
      </w:r>
      <w:proofErr w:type="spellEnd"/>
      <w:r w:rsidR="00C745F1" w:rsidRPr="00E51946">
        <w:t xml:space="preserve"> za financiranje Faze II Projekta „Modernizacija bolnica u Bosni i Hercegovini“ </w:t>
      </w:r>
    </w:p>
    <w:p w:rsidR="00C745F1" w:rsidRDefault="00C745F1" w:rsidP="00C745F1">
      <w:pPr>
        <w:pStyle w:val="Uvuenotijeloteksta"/>
        <w:spacing w:line="240" w:lineRule="auto"/>
        <w:ind w:firstLine="0"/>
        <w:rPr>
          <w:szCs w:val="22"/>
        </w:rPr>
      </w:pPr>
      <w:r>
        <w:t>Od usvajanja Izmjena</w:t>
      </w:r>
      <w:r>
        <w:rPr>
          <w:szCs w:val="22"/>
        </w:rPr>
        <w:t xml:space="preserve"> i dopuna Proračuna </w:t>
      </w:r>
      <w:r>
        <w:t xml:space="preserve">Županije Posavske </w:t>
      </w:r>
      <w:r>
        <w:rPr>
          <w:szCs w:val="22"/>
        </w:rPr>
        <w:t xml:space="preserve">za 2020. godinu </w:t>
      </w:r>
      <w:r>
        <w:t>izvršene su</w:t>
      </w:r>
      <w:r>
        <w:rPr>
          <w:szCs w:val="22"/>
        </w:rPr>
        <w:t xml:space="preserve"> izmjene u </w:t>
      </w:r>
      <w:r>
        <w:t xml:space="preserve">planiranju i </w:t>
      </w:r>
      <w:r>
        <w:rPr>
          <w:szCs w:val="22"/>
        </w:rPr>
        <w:t xml:space="preserve">računovodstvenom evidentiranju </w:t>
      </w:r>
      <w:r>
        <w:t>izdataka za otplate dugova</w:t>
      </w:r>
      <w:r>
        <w:rPr>
          <w:szCs w:val="22"/>
        </w:rPr>
        <w:t>, pa se iste</w:t>
      </w:r>
      <w:r>
        <w:t xml:space="preserve"> planiraju i</w:t>
      </w:r>
      <w:r>
        <w:rPr>
          <w:szCs w:val="22"/>
        </w:rPr>
        <w:t xml:space="preserve"> </w:t>
      </w:r>
      <w:r>
        <w:t xml:space="preserve">izvršavaju </w:t>
      </w:r>
      <w:r>
        <w:rPr>
          <w:szCs w:val="22"/>
        </w:rPr>
        <w:t>na pozicijama 823200</w:t>
      </w:r>
      <w:r>
        <w:t xml:space="preserve"> – Vanjske otplate.</w:t>
      </w:r>
      <w:r>
        <w:rPr>
          <w:szCs w:val="22"/>
        </w:rPr>
        <w:t xml:space="preserve"> </w:t>
      </w:r>
    </w:p>
    <w:p w:rsidR="00C745F1" w:rsidRPr="00A12B5C" w:rsidRDefault="00C745F1" w:rsidP="00C745F1">
      <w:pPr>
        <w:pStyle w:val="Tijeloteksta"/>
        <w:spacing w:before="120"/>
        <w:jc w:val="both"/>
      </w:pPr>
      <w:r w:rsidRPr="00031E60">
        <w:t xml:space="preserve">U </w:t>
      </w:r>
      <w:proofErr w:type="spellStart"/>
      <w:r w:rsidRPr="00031E60">
        <w:t>odnosu</w:t>
      </w:r>
      <w:proofErr w:type="spellEnd"/>
      <w:r w:rsidRPr="00031E60">
        <w:t xml:space="preserve"> </w:t>
      </w:r>
      <w:proofErr w:type="spellStart"/>
      <w:proofErr w:type="gramStart"/>
      <w:r w:rsidRPr="00031E60">
        <w:t>na</w:t>
      </w:r>
      <w:proofErr w:type="spellEnd"/>
      <w:proofErr w:type="gramEnd"/>
      <w:r w:rsidRPr="00031E60">
        <w:t xml:space="preserve"> </w:t>
      </w:r>
      <w:proofErr w:type="spellStart"/>
      <w:r w:rsidRPr="00031E60">
        <w:t>isto</w:t>
      </w:r>
      <w:proofErr w:type="spellEnd"/>
      <w:r w:rsidRPr="00031E60">
        <w:t xml:space="preserve"> </w:t>
      </w:r>
      <w:proofErr w:type="spellStart"/>
      <w:r w:rsidRPr="00031E60">
        <w:t>razdoblje</w:t>
      </w:r>
      <w:proofErr w:type="spellEnd"/>
      <w:r w:rsidRPr="00031E60">
        <w:t xml:space="preserve"> 2019. </w:t>
      </w:r>
      <w:proofErr w:type="spellStart"/>
      <w:proofErr w:type="gramStart"/>
      <w:r w:rsidRPr="00031E60">
        <w:t>godine</w:t>
      </w:r>
      <w:proofErr w:type="spellEnd"/>
      <w:proofErr w:type="gramEnd"/>
      <w:r w:rsidRPr="00031E60"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dugova</w:t>
      </w:r>
      <w:proofErr w:type="spellEnd"/>
      <w:r w:rsidRPr="00031E60">
        <w:t xml:space="preserve"> </w:t>
      </w:r>
      <w:proofErr w:type="spellStart"/>
      <w:r w:rsidRPr="00031E60">
        <w:t>su</w:t>
      </w:r>
      <w:proofErr w:type="spellEnd"/>
      <w:r w:rsidRPr="00031E60">
        <w:t xml:space="preserve"> u </w:t>
      </w:r>
      <w:proofErr w:type="spellStart"/>
      <w:r w:rsidRPr="00031E60">
        <w:t>razdoblju</w:t>
      </w:r>
      <w:proofErr w:type="spellEnd"/>
      <w:r w:rsidRPr="00031E60">
        <w:t xml:space="preserve"> 01.01.-30.0</w:t>
      </w:r>
      <w:r w:rsidR="00F514D8">
        <w:t>9</w:t>
      </w:r>
      <w:r w:rsidRPr="00031E60">
        <w:t xml:space="preserve">.2020. </w:t>
      </w:r>
      <w:proofErr w:type="spellStart"/>
      <w:proofErr w:type="gramStart"/>
      <w:r w:rsidRPr="00031E60">
        <w:t>godine</w:t>
      </w:r>
      <w:proofErr w:type="spellEnd"/>
      <w:proofErr w:type="gramEnd"/>
      <w:r w:rsidRPr="00031E60">
        <w:t xml:space="preserve"> </w:t>
      </w:r>
      <w:proofErr w:type="spellStart"/>
      <w:r w:rsidRPr="00031E60">
        <w:t>manji</w:t>
      </w:r>
      <w:proofErr w:type="spellEnd"/>
      <w:r w:rsidRPr="00031E60">
        <w:t xml:space="preserve"> </w:t>
      </w:r>
      <w:proofErr w:type="spellStart"/>
      <w:r w:rsidRPr="00031E60">
        <w:t>za</w:t>
      </w:r>
      <w:proofErr w:type="spellEnd"/>
      <w:r w:rsidRPr="00031E60">
        <w:t xml:space="preserve"> </w:t>
      </w:r>
      <w:r w:rsidR="00F514D8">
        <w:t>76.143</w:t>
      </w:r>
      <w:r w:rsidRPr="00031E60">
        <w:t xml:space="preserve"> KM</w:t>
      </w:r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</w:t>
      </w:r>
      <w:r w:rsidR="00F514D8">
        <w:t>12,88</w:t>
      </w:r>
      <w:r>
        <w:t>%.</w:t>
      </w:r>
    </w:p>
    <w:p w:rsidR="001C50E3" w:rsidRDefault="001C50E3" w:rsidP="00122F5D">
      <w:pPr>
        <w:jc w:val="both"/>
        <w:rPr>
          <w:szCs w:val="24"/>
        </w:rPr>
      </w:pPr>
    </w:p>
    <w:p w:rsidR="00122F5D" w:rsidRPr="00617F28" w:rsidRDefault="00122F5D" w:rsidP="00122F5D">
      <w:pPr>
        <w:jc w:val="both"/>
        <w:rPr>
          <w:b/>
          <w:szCs w:val="24"/>
        </w:rPr>
      </w:pPr>
      <w:r>
        <w:rPr>
          <w:b/>
          <w:szCs w:val="24"/>
        </w:rPr>
        <w:t>10</w:t>
      </w:r>
      <w:r w:rsidRPr="00617F28">
        <w:rPr>
          <w:b/>
          <w:szCs w:val="24"/>
        </w:rPr>
        <w:tab/>
      </w:r>
      <w:r>
        <w:rPr>
          <w:b/>
          <w:szCs w:val="24"/>
        </w:rPr>
        <w:t>NETO FINANCIRANJE</w:t>
      </w:r>
    </w:p>
    <w:p w:rsidR="00122F5D" w:rsidRDefault="00122F5D" w:rsidP="00122F5D">
      <w:pPr>
        <w:pStyle w:val="Uvuenotijeloteksta"/>
        <w:spacing w:line="240" w:lineRule="auto"/>
        <w:ind w:firstLine="0"/>
      </w:pPr>
    </w:p>
    <w:p w:rsidR="00A14F63" w:rsidRDefault="00A14F63" w:rsidP="00A14F63">
      <w:pPr>
        <w:pStyle w:val="Uvuenotijeloteksta"/>
        <w:spacing w:line="240" w:lineRule="auto"/>
        <w:ind w:firstLine="0"/>
      </w:pPr>
      <w:r>
        <w:t>Obzirom da u razdoblju 01.01.-</w:t>
      </w:r>
      <w:r w:rsidR="00C745F1">
        <w:t>30</w:t>
      </w:r>
      <w:r>
        <w:t>.0</w:t>
      </w:r>
      <w:r w:rsidR="00F514D8">
        <w:t>9</w:t>
      </w:r>
      <w:r>
        <w:t>.20</w:t>
      </w:r>
      <w:r w:rsidR="001C50E3">
        <w:t>20</w:t>
      </w:r>
      <w:r>
        <w:t xml:space="preserve">. godine nije bilo primitaka od financijske imovine i zaduživanja, dok je istovremeno na nabavku financijske imovine odnosno otplatu dugova utrošeno </w:t>
      </w:r>
      <w:r w:rsidR="00C745F1">
        <w:t>258.630</w:t>
      </w:r>
      <w:r>
        <w:t xml:space="preserve"> KM, neto financiranje Proračuna Županije Posavske iznosi -</w:t>
      </w:r>
      <w:r w:rsidR="00C745F1">
        <w:t>258</w:t>
      </w:r>
      <w:r w:rsidR="001C50E3">
        <w:t>.</w:t>
      </w:r>
      <w:r w:rsidR="00C745F1">
        <w:t>630</w:t>
      </w:r>
      <w:r>
        <w:t xml:space="preserve"> KM.</w:t>
      </w:r>
    </w:p>
    <w:p w:rsidR="00122F5D" w:rsidRDefault="00122F5D" w:rsidP="00122F5D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4495800" cy="1769533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06D51" w:rsidRDefault="00006D51" w:rsidP="00122F5D">
      <w:pPr>
        <w:jc w:val="both"/>
        <w:rPr>
          <w:b/>
          <w:szCs w:val="24"/>
        </w:rPr>
      </w:pPr>
    </w:p>
    <w:p w:rsidR="00006D51" w:rsidRDefault="00006D51" w:rsidP="00122F5D">
      <w:pPr>
        <w:jc w:val="both"/>
        <w:rPr>
          <w:b/>
          <w:szCs w:val="24"/>
        </w:rPr>
      </w:pPr>
    </w:p>
    <w:p w:rsidR="00122F5D" w:rsidRPr="00617F28" w:rsidRDefault="00122F5D" w:rsidP="00122F5D">
      <w:pPr>
        <w:jc w:val="both"/>
        <w:rPr>
          <w:b/>
          <w:szCs w:val="24"/>
        </w:rPr>
      </w:pPr>
      <w:r>
        <w:rPr>
          <w:b/>
          <w:szCs w:val="24"/>
        </w:rPr>
        <w:t>11</w:t>
      </w:r>
      <w:r w:rsidRPr="00617F28">
        <w:rPr>
          <w:b/>
          <w:szCs w:val="24"/>
        </w:rPr>
        <w:tab/>
      </w:r>
      <w:r>
        <w:rPr>
          <w:b/>
          <w:szCs w:val="24"/>
        </w:rPr>
        <w:t>UKUPAN FINANCIJSKI REZULTAT</w:t>
      </w:r>
    </w:p>
    <w:p w:rsidR="00122F5D" w:rsidRDefault="00122F5D" w:rsidP="00122F5D">
      <w:pPr>
        <w:pStyle w:val="Uvuenotijeloteksta"/>
        <w:spacing w:line="240" w:lineRule="auto"/>
        <w:ind w:firstLine="0"/>
      </w:pPr>
    </w:p>
    <w:p w:rsidR="00122F5D" w:rsidRPr="00F52A77" w:rsidRDefault="00122F5D" w:rsidP="00122F5D">
      <w:pPr>
        <w:pStyle w:val="Uvuenotijeloteksta"/>
        <w:spacing w:line="240" w:lineRule="auto"/>
        <w:ind w:firstLine="0"/>
      </w:pPr>
      <w:r w:rsidRPr="00F52A77">
        <w:t xml:space="preserve">Ukupan financijski rezultat Proračuna Županije Posavske </w:t>
      </w:r>
      <w:r w:rsidR="00A14F63">
        <w:t xml:space="preserve">(zbroj ukupnog suficita i neto financiranja) </w:t>
      </w:r>
      <w:r w:rsidRPr="00F52A77">
        <w:t>za razdoblje 01.01.-</w:t>
      </w:r>
      <w:r w:rsidR="001C50E3">
        <w:t>3</w:t>
      </w:r>
      <w:r w:rsidR="00C745F1">
        <w:t>0</w:t>
      </w:r>
      <w:r w:rsidRPr="00F52A77">
        <w:t>.0</w:t>
      </w:r>
      <w:r w:rsidR="00F514D8">
        <w:t>9</w:t>
      </w:r>
      <w:r w:rsidRPr="00F52A77">
        <w:t>.20</w:t>
      </w:r>
      <w:r w:rsidR="001C50E3">
        <w:t>20</w:t>
      </w:r>
      <w:r w:rsidRPr="00F52A77">
        <w:t xml:space="preserve">. godine </w:t>
      </w:r>
      <w:r w:rsidR="00666188" w:rsidRPr="00F52A77">
        <w:t xml:space="preserve">je pozitivan i </w:t>
      </w:r>
      <w:r w:rsidRPr="00F52A77">
        <w:t xml:space="preserve">iznosi </w:t>
      </w:r>
      <w:r w:rsidR="00F514D8">
        <w:t>6.628.361</w:t>
      </w:r>
      <w:r w:rsidRPr="00F52A77">
        <w:t xml:space="preserve"> KM</w:t>
      </w:r>
      <w:r w:rsidR="00666188" w:rsidRPr="00F52A77">
        <w:t>.</w:t>
      </w:r>
    </w:p>
    <w:p w:rsidR="00122F5D" w:rsidRDefault="00122F5D" w:rsidP="00122F5D">
      <w:pPr>
        <w:pStyle w:val="Uvuenotijeloteksta"/>
        <w:spacing w:line="240" w:lineRule="auto"/>
        <w:ind w:firstLine="0"/>
      </w:pPr>
    </w:p>
    <w:p w:rsidR="001C50E3" w:rsidRDefault="00122F5D" w:rsidP="001C50E3">
      <w:pPr>
        <w:pStyle w:val="Uvuenotijeloteksta"/>
        <w:spacing w:line="240" w:lineRule="auto"/>
        <w:ind w:firstLine="0"/>
        <w:jc w:val="center"/>
      </w:pPr>
      <w:r>
        <w:rPr>
          <w:noProof/>
          <w:lang w:eastAsia="hr-HR"/>
        </w:rPr>
        <w:drawing>
          <wp:inline distT="0" distB="0" distL="0" distR="0">
            <wp:extent cx="4588933" cy="17907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9554E4">
        <w:t xml:space="preserve">                                              </w:t>
      </w:r>
      <w:r w:rsidR="001C50E3">
        <w:t xml:space="preserve">                       </w:t>
      </w:r>
    </w:p>
    <w:p w:rsidR="0013024D" w:rsidRDefault="0013024D" w:rsidP="001C50E3">
      <w:pPr>
        <w:pStyle w:val="Uvuenotijeloteksta"/>
        <w:spacing w:line="240" w:lineRule="auto"/>
        <w:ind w:firstLine="0"/>
        <w:jc w:val="right"/>
      </w:pPr>
    </w:p>
    <w:p w:rsidR="009554E4" w:rsidRDefault="009554E4" w:rsidP="001C50E3">
      <w:pPr>
        <w:pStyle w:val="Uvuenotijeloteksta"/>
        <w:spacing w:line="240" w:lineRule="auto"/>
        <w:ind w:firstLine="0"/>
        <w:jc w:val="right"/>
      </w:pPr>
      <w:r>
        <w:t>MINISTARSTVO FINANCIJA</w:t>
      </w:r>
      <w:r w:rsidR="001C50E3">
        <w:t xml:space="preserve"> ŽUPANIJE POSAVSKE</w:t>
      </w:r>
    </w:p>
    <w:p w:rsidR="001C50E3" w:rsidRDefault="001C50E3" w:rsidP="00FC23CE">
      <w:pPr>
        <w:rPr>
          <w:szCs w:val="24"/>
        </w:rPr>
      </w:pPr>
    </w:p>
    <w:p w:rsidR="001C50E3" w:rsidRDefault="001C50E3" w:rsidP="00FC23CE">
      <w:pPr>
        <w:rPr>
          <w:szCs w:val="24"/>
        </w:rPr>
      </w:pPr>
    </w:p>
    <w:p w:rsidR="009554E4" w:rsidRDefault="009B2CEF" w:rsidP="00FC23CE">
      <w:r>
        <w:rPr>
          <w:szCs w:val="24"/>
        </w:rPr>
        <w:t xml:space="preserve">Orašje, </w:t>
      </w:r>
      <w:r w:rsidR="00F514D8">
        <w:rPr>
          <w:szCs w:val="24"/>
        </w:rPr>
        <w:t>studeni</w:t>
      </w:r>
      <w:r>
        <w:rPr>
          <w:szCs w:val="24"/>
        </w:rPr>
        <w:t xml:space="preserve"> 20</w:t>
      </w:r>
      <w:r w:rsidR="001C50E3">
        <w:rPr>
          <w:szCs w:val="24"/>
        </w:rPr>
        <w:t>20</w:t>
      </w:r>
      <w:r>
        <w:rPr>
          <w:szCs w:val="24"/>
        </w:rPr>
        <w:t xml:space="preserve">.godine </w:t>
      </w:r>
    </w:p>
    <w:sectPr w:rsidR="009554E4" w:rsidSect="007B7CE0">
      <w:footerReference w:type="defaul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4D" w:rsidRDefault="0074554D" w:rsidP="007B7CE0">
      <w:r>
        <w:separator/>
      </w:r>
    </w:p>
  </w:endnote>
  <w:endnote w:type="continuationSeparator" w:id="0">
    <w:p w:rsidR="0074554D" w:rsidRDefault="0074554D" w:rsidP="007B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9166405"/>
      <w:docPartObj>
        <w:docPartGallery w:val="Page Numbers (Bottom of Page)"/>
        <w:docPartUnique/>
      </w:docPartObj>
    </w:sdtPr>
    <w:sdtContent>
      <w:p w:rsidR="00C6593B" w:rsidRDefault="00C6593B">
        <w:pPr>
          <w:pStyle w:val="Podnoje"/>
          <w:jc w:val="right"/>
        </w:pPr>
        <w:fldSimple w:instr="PAGE   \* MERGEFORMAT">
          <w:r w:rsidR="00283491">
            <w:rPr>
              <w:noProof/>
            </w:rPr>
            <w:t>28</w:t>
          </w:r>
        </w:fldSimple>
      </w:p>
    </w:sdtContent>
  </w:sdt>
  <w:p w:rsidR="00C6593B" w:rsidRDefault="00C6593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4D" w:rsidRDefault="0074554D" w:rsidP="007B7CE0">
      <w:r>
        <w:separator/>
      </w:r>
    </w:p>
  </w:footnote>
  <w:footnote w:type="continuationSeparator" w:id="0">
    <w:p w:rsidR="0074554D" w:rsidRDefault="0074554D" w:rsidP="007B7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961"/>
    <w:multiLevelType w:val="hybridMultilevel"/>
    <w:tmpl w:val="9D069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F2600"/>
    <w:multiLevelType w:val="hybridMultilevel"/>
    <w:tmpl w:val="46EE7526"/>
    <w:lvl w:ilvl="0" w:tplc="F61C3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C27EC"/>
    <w:multiLevelType w:val="hybridMultilevel"/>
    <w:tmpl w:val="31EEE076"/>
    <w:lvl w:ilvl="0" w:tplc="D42AC77A">
      <w:start w:val="6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2025E"/>
    <w:multiLevelType w:val="hybridMultilevel"/>
    <w:tmpl w:val="FCFE2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B49AD"/>
    <w:multiLevelType w:val="hybridMultilevel"/>
    <w:tmpl w:val="7BBE9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66F87"/>
    <w:multiLevelType w:val="hybridMultilevel"/>
    <w:tmpl w:val="D1428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D013A"/>
    <w:multiLevelType w:val="hybridMultilevel"/>
    <w:tmpl w:val="5D62F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200BE"/>
    <w:multiLevelType w:val="hybridMultilevel"/>
    <w:tmpl w:val="59A4566C"/>
    <w:lvl w:ilvl="0" w:tplc="15023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50232D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82106"/>
    <w:multiLevelType w:val="hybridMultilevel"/>
    <w:tmpl w:val="E6F0067C"/>
    <w:lvl w:ilvl="0" w:tplc="E3D620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81268"/>
    <w:multiLevelType w:val="hybridMultilevel"/>
    <w:tmpl w:val="85B637A6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CA067F4"/>
    <w:multiLevelType w:val="hybridMultilevel"/>
    <w:tmpl w:val="B5389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C650F"/>
    <w:multiLevelType w:val="hybridMultilevel"/>
    <w:tmpl w:val="72A21C9A"/>
    <w:lvl w:ilvl="0" w:tplc="15023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50232D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A7C5A"/>
    <w:multiLevelType w:val="hybridMultilevel"/>
    <w:tmpl w:val="A4E0C8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C15BA"/>
    <w:multiLevelType w:val="hybridMultilevel"/>
    <w:tmpl w:val="823238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770F7"/>
    <w:multiLevelType w:val="hybridMultilevel"/>
    <w:tmpl w:val="F986221E"/>
    <w:lvl w:ilvl="0" w:tplc="15023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20D8D"/>
    <w:multiLevelType w:val="hybridMultilevel"/>
    <w:tmpl w:val="25E88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30F03"/>
    <w:multiLevelType w:val="hybridMultilevel"/>
    <w:tmpl w:val="E24AE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268B2"/>
    <w:multiLevelType w:val="hybridMultilevel"/>
    <w:tmpl w:val="8FB81722"/>
    <w:lvl w:ilvl="0" w:tplc="15023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F0B2A"/>
    <w:multiLevelType w:val="hybridMultilevel"/>
    <w:tmpl w:val="F9BEB78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3485EE5"/>
    <w:multiLevelType w:val="hybridMultilevel"/>
    <w:tmpl w:val="91F0141E"/>
    <w:lvl w:ilvl="0" w:tplc="15023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40345"/>
    <w:multiLevelType w:val="hybridMultilevel"/>
    <w:tmpl w:val="17A6ACBE"/>
    <w:lvl w:ilvl="0" w:tplc="15023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B35B4"/>
    <w:multiLevelType w:val="hybridMultilevel"/>
    <w:tmpl w:val="9934EC56"/>
    <w:lvl w:ilvl="0" w:tplc="2EBAEE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D6B3C"/>
    <w:multiLevelType w:val="hybridMultilevel"/>
    <w:tmpl w:val="7988B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F4B48"/>
    <w:multiLevelType w:val="hybridMultilevel"/>
    <w:tmpl w:val="8B6408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364C9"/>
    <w:multiLevelType w:val="hybridMultilevel"/>
    <w:tmpl w:val="719CE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966F7"/>
    <w:multiLevelType w:val="hybridMultilevel"/>
    <w:tmpl w:val="437A2738"/>
    <w:lvl w:ilvl="0" w:tplc="2824787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134B3"/>
    <w:multiLevelType w:val="hybridMultilevel"/>
    <w:tmpl w:val="A97451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2367C"/>
    <w:multiLevelType w:val="hybridMultilevel"/>
    <w:tmpl w:val="A210BFBE"/>
    <w:lvl w:ilvl="0" w:tplc="02F60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76092"/>
    <w:multiLevelType w:val="hybridMultilevel"/>
    <w:tmpl w:val="0DA0197A"/>
    <w:lvl w:ilvl="0" w:tplc="22E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66DD3"/>
    <w:multiLevelType w:val="hybridMultilevel"/>
    <w:tmpl w:val="20BC40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A6905"/>
    <w:multiLevelType w:val="hybridMultilevel"/>
    <w:tmpl w:val="5DD2DEAE"/>
    <w:lvl w:ilvl="0" w:tplc="07AE21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A64F1"/>
    <w:multiLevelType w:val="hybridMultilevel"/>
    <w:tmpl w:val="6068FB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341F1"/>
    <w:multiLevelType w:val="hybridMultilevel"/>
    <w:tmpl w:val="1F2055DA"/>
    <w:lvl w:ilvl="0" w:tplc="041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>
    <w:nsid w:val="724878B8"/>
    <w:multiLevelType w:val="hybridMultilevel"/>
    <w:tmpl w:val="E92CDB6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36C5558"/>
    <w:multiLevelType w:val="hybridMultilevel"/>
    <w:tmpl w:val="C50E3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E1034"/>
    <w:multiLevelType w:val="hybridMultilevel"/>
    <w:tmpl w:val="07D00F20"/>
    <w:lvl w:ilvl="0" w:tplc="150232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F637E"/>
    <w:multiLevelType w:val="hybridMultilevel"/>
    <w:tmpl w:val="310A9A1A"/>
    <w:lvl w:ilvl="0" w:tplc="07AE21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53352"/>
    <w:multiLevelType w:val="hybridMultilevel"/>
    <w:tmpl w:val="0BEA9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40420"/>
    <w:multiLevelType w:val="hybridMultilevel"/>
    <w:tmpl w:val="69208D20"/>
    <w:lvl w:ilvl="0" w:tplc="3BD248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9A45273"/>
    <w:multiLevelType w:val="hybridMultilevel"/>
    <w:tmpl w:val="F78EB4DC"/>
    <w:lvl w:ilvl="0" w:tplc="28025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6"/>
  </w:num>
  <w:num w:numId="4">
    <w:abstractNumId w:val="15"/>
  </w:num>
  <w:num w:numId="5">
    <w:abstractNumId w:val="25"/>
  </w:num>
  <w:num w:numId="6">
    <w:abstractNumId w:val="39"/>
  </w:num>
  <w:num w:numId="7">
    <w:abstractNumId w:val="37"/>
  </w:num>
  <w:num w:numId="8">
    <w:abstractNumId w:val="12"/>
  </w:num>
  <w:num w:numId="9">
    <w:abstractNumId w:val="29"/>
  </w:num>
  <w:num w:numId="10">
    <w:abstractNumId w:val="32"/>
  </w:num>
  <w:num w:numId="11">
    <w:abstractNumId w:val="23"/>
  </w:num>
  <w:num w:numId="12">
    <w:abstractNumId w:val="19"/>
  </w:num>
  <w:num w:numId="13">
    <w:abstractNumId w:val="35"/>
  </w:num>
  <w:num w:numId="14">
    <w:abstractNumId w:val="8"/>
  </w:num>
  <w:num w:numId="15">
    <w:abstractNumId w:val="24"/>
  </w:num>
  <w:num w:numId="16">
    <w:abstractNumId w:val="14"/>
  </w:num>
  <w:num w:numId="17">
    <w:abstractNumId w:val="31"/>
  </w:num>
  <w:num w:numId="18">
    <w:abstractNumId w:val="17"/>
  </w:num>
  <w:num w:numId="19">
    <w:abstractNumId w:val="18"/>
  </w:num>
  <w:num w:numId="20">
    <w:abstractNumId w:val="1"/>
  </w:num>
  <w:num w:numId="21">
    <w:abstractNumId w:val="28"/>
  </w:num>
  <w:num w:numId="22">
    <w:abstractNumId w:val="34"/>
  </w:num>
  <w:num w:numId="23">
    <w:abstractNumId w:val="20"/>
  </w:num>
  <w:num w:numId="24">
    <w:abstractNumId w:val="7"/>
  </w:num>
  <w:num w:numId="25">
    <w:abstractNumId w:val="11"/>
  </w:num>
  <w:num w:numId="26">
    <w:abstractNumId w:val="16"/>
  </w:num>
  <w:num w:numId="27">
    <w:abstractNumId w:val="27"/>
  </w:num>
  <w:num w:numId="28">
    <w:abstractNumId w:val="0"/>
  </w:num>
  <w:num w:numId="29">
    <w:abstractNumId w:val="4"/>
  </w:num>
  <w:num w:numId="30">
    <w:abstractNumId w:val="13"/>
  </w:num>
  <w:num w:numId="31">
    <w:abstractNumId w:val="10"/>
  </w:num>
  <w:num w:numId="32">
    <w:abstractNumId w:val="9"/>
  </w:num>
  <w:num w:numId="33">
    <w:abstractNumId w:val="26"/>
  </w:num>
  <w:num w:numId="34">
    <w:abstractNumId w:val="33"/>
  </w:num>
  <w:num w:numId="35">
    <w:abstractNumId w:val="2"/>
  </w:num>
  <w:num w:numId="36">
    <w:abstractNumId w:val="3"/>
  </w:num>
  <w:num w:numId="37">
    <w:abstractNumId w:val="21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C95"/>
    <w:rsid w:val="000002F9"/>
    <w:rsid w:val="00004197"/>
    <w:rsid w:val="00005482"/>
    <w:rsid w:val="000068B8"/>
    <w:rsid w:val="00006D51"/>
    <w:rsid w:val="000118F8"/>
    <w:rsid w:val="00013EEA"/>
    <w:rsid w:val="00016A3D"/>
    <w:rsid w:val="00016F13"/>
    <w:rsid w:val="000204A5"/>
    <w:rsid w:val="000208BA"/>
    <w:rsid w:val="00025C36"/>
    <w:rsid w:val="00031E60"/>
    <w:rsid w:val="00032706"/>
    <w:rsid w:val="0003678A"/>
    <w:rsid w:val="000404AD"/>
    <w:rsid w:val="0004064E"/>
    <w:rsid w:val="000427B1"/>
    <w:rsid w:val="00046C04"/>
    <w:rsid w:val="00052135"/>
    <w:rsid w:val="00056945"/>
    <w:rsid w:val="000630C6"/>
    <w:rsid w:val="00063C32"/>
    <w:rsid w:val="00065613"/>
    <w:rsid w:val="00067289"/>
    <w:rsid w:val="00076701"/>
    <w:rsid w:val="00076961"/>
    <w:rsid w:val="000769A5"/>
    <w:rsid w:val="00085FA3"/>
    <w:rsid w:val="00087DC0"/>
    <w:rsid w:val="00092E81"/>
    <w:rsid w:val="0009476C"/>
    <w:rsid w:val="00096E7C"/>
    <w:rsid w:val="000A0C3F"/>
    <w:rsid w:val="000A0F49"/>
    <w:rsid w:val="000A103B"/>
    <w:rsid w:val="000A13AF"/>
    <w:rsid w:val="000A1A0F"/>
    <w:rsid w:val="000A65F2"/>
    <w:rsid w:val="000A683A"/>
    <w:rsid w:val="000B1043"/>
    <w:rsid w:val="000B6F61"/>
    <w:rsid w:val="000C0187"/>
    <w:rsid w:val="000C1868"/>
    <w:rsid w:val="000C65D3"/>
    <w:rsid w:val="000C75AE"/>
    <w:rsid w:val="000C77C7"/>
    <w:rsid w:val="000D49F3"/>
    <w:rsid w:val="000D5396"/>
    <w:rsid w:val="000D5796"/>
    <w:rsid w:val="000E1AE3"/>
    <w:rsid w:val="000E3064"/>
    <w:rsid w:val="000E5B3D"/>
    <w:rsid w:val="000F0D48"/>
    <w:rsid w:val="000F0F22"/>
    <w:rsid w:val="000F2F9D"/>
    <w:rsid w:val="000F3304"/>
    <w:rsid w:val="001040EF"/>
    <w:rsid w:val="00106191"/>
    <w:rsid w:val="00115391"/>
    <w:rsid w:val="0011797B"/>
    <w:rsid w:val="00122F5D"/>
    <w:rsid w:val="00125434"/>
    <w:rsid w:val="00127DB8"/>
    <w:rsid w:val="0013024D"/>
    <w:rsid w:val="00130DAE"/>
    <w:rsid w:val="00133C6E"/>
    <w:rsid w:val="001352D3"/>
    <w:rsid w:val="00145ABA"/>
    <w:rsid w:val="00150110"/>
    <w:rsid w:val="001504B2"/>
    <w:rsid w:val="00150FD9"/>
    <w:rsid w:val="00153551"/>
    <w:rsid w:val="00154153"/>
    <w:rsid w:val="00165F6E"/>
    <w:rsid w:val="00167137"/>
    <w:rsid w:val="001725DA"/>
    <w:rsid w:val="00174B34"/>
    <w:rsid w:val="00175533"/>
    <w:rsid w:val="00182C7C"/>
    <w:rsid w:val="00183B77"/>
    <w:rsid w:val="00187D58"/>
    <w:rsid w:val="00190EF8"/>
    <w:rsid w:val="00191036"/>
    <w:rsid w:val="00192873"/>
    <w:rsid w:val="001943C2"/>
    <w:rsid w:val="00195962"/>
    <w:rsid w:val="001962F8"/>
    <w:rsid w:val="001B4801"/>
    <w:rsid w:val="001C50E3"/>
    <w:rsid w:val="001D2AA8"/>
    <w:rsid w:val="001D2AFB"/>
    <w:rsid w:val="001D432C"/>
    <w:rsid w:val="001D4DAA"/>
    <w:rsid w:val="001D60BF"/>
    <w:rsid w:val="001D7AE9"/>
    <w:rsid w:val="001E403C"/>
    <w:rsid w:val="001E5E25"/>
    <w:rsid w:val="001E78AD"/>
    <w:rsid w:val="001F3612"/>
    <w:rsid w:val="001F410B"/>
    <w:rsid w:val="001F498D"/>
    <w:rsid w:val="001F544F"/>
    <w:rsid w:val="001F5D16"/>
    <w:rsid w:val="00200D1E"/>
    <w:rsid w:val="00203017"/>
    <w:rsid w:val="00203398"/>
    <w:rsid w:val="00203E1A"/>
    <w:rsid w:val="00205DA8"/>
    <w:rsid w:val="00207898"/>
    <w:rsid w:val="002159B2"/>
    <w:rsid w:val="00217BFA"/>
    <w:rsid w:val="002230A6"/>
    <w:rsid w:val="002273EB"/>
    <w:rsid w:val="00232DD9"/>
    <w:rsid w:val="00236105"/>
    <w:rsid w:val="00237E33"/>
    <w:rsid w:val="00243673"/>
    <w:rsid w:val="00243FD2"/>
    <w:rsid w:val="0024752B"/>
    <w:rsid w:val="00250FE8"/>
    <w:rsid w:val="00253805"/>
    <w:rsid w:val="00255AC1"/>
    <w:rsid w:val="00255D02"/>
    <w:rsid w:val="0026183C"/>
    <w:rsid w:val="00261B4B"/>
    <w:rsid w:val="00263686"/>
    <w:rsid w:val="00265F70"/>
    <w:rsid w:val="00266947"/>
    <w:rsid w:val="00270820"/>
    <w:rsid w:val="00270CBD"/>
    <w:rsid w:val="00272963"/>
    <w:rsid w:val="00273F2F"/>
    <w:rsid w:val="00277765"/>
    <w:rsid w:val="00277A54"/>
    <w:rsid w:val="002817A9"/>
    <w:rsid w:val="00283491"/>
    <w:rsid w:val="00284721"/>
    <w:rsid w:val="002850E4"/>
    <w:rsid w:val="002876EF"/>
    <w:rsid w:val="00287A8F"/>
    <w:rsid w:val="0029080F"/>
    <w:rsid w:val="00292458"/>
    <w:rsid w:val="00295607"/>
    <w:rsid w:val="00295C5D"/>
    <w:rsid w:val="00296123"/>
    <w:rsid w:val="002A484B"/>
    <w:rsid w:val="002B4957"/>
    <w:rsid w:val="002C44D7"/>
    <w:rsid w:val="002C6B08"/>
    <w:rsid w:val="002D2EA6"/>
    <w:rsid w:val="002D3751"/>
    <w:rsid w:val="002D3B2D"/>
    <w:rsid w:val="002D465C"/>
    <w:rsid w:val="002D7430"/>
    <w:rsid w:val="002D77FB"/>
    <w:rsid w:val="002E237D"/>
    <w:rsid w:val="002E261C"/>
    <w:rsid w:val="002E41B3"/>
    <w:rsid w:val="002E45F0"/>
    <w:rsid w:val="002E6D90"/>
    <w:rsid w:val="002F107D"/>
    <w:rsid w:val="002F4AA2"/>
    <w:rsid w:val="002F5379"/>
    <w:rsid w:val="002F5797"/>
    <w:rsid w:val="002F6081"/>
    <w:rsid w:val="00305CA6"/>
    <w:rsid w:val="00307442"/>
    <w:rsid w:val="00307848"/>
    <w:rsid w:val="00307E33"/>
    <w:rsid w:val="00311F47"/>
    <w:rsid w:val="00315E39"/>
    <w:rsid w:val="00320EF2"/>
    <w:rsid w:val="00320F17"/>
    <w:rsid w:val="00320F32"/>
    <w:rsid w:val="00325ABB"/>
    <w:rsid w:val="00326066"/>
    <w:rsid w:val="0032664B"/>
    <w:rsid w:val="0032794D"/>
    <w:rsid w:val="00327E54"/>
    <w:rsid w:val="0033392B"/>
    <w:rsid w:val="003431B6"/>
    <w:rsid w:val="00344938"/>
    <w:rsid w:val="00353B84"/>
    <w:rsid w:val="00355A9A"/>
    <w:rsid w:val="00362F88"/>
    <w:rsid w:val="00363D55"/>
    <w:rsid w:val="00363FFB"/>
    <w:rsid w:val="003669B4"/>
    <w:rsid w:val="00371295"/>
    <w:rsid w:val="00374308"/>
    <w:rsid w:val="00380C88"/>
    <w:rsid w:val="00381E2D"/>
    <w:rsid w:val="00381F98"/>
    <w:rsid w:val="00383FA9"/>
    <w:rsid w:val="00392366"/>
    <w:rsid w:val="00392CCB"/>
    <w:rsid w:val="00392CFF"/>
    <w:rsid w:val="003938D9"/>
    <w:rsid w:val="00396F4B"/>
    <w:rsid w:val="003975BE"/>
    <w:rsid w:val="003B0FC6"/>
    <w:rsid w:val="003B1855"/>
    <w:rsid w:val="003B42A3"/>
    <w:rsid w:val="003B5D0E"/>
    <w:rsid w:val="003B6656"/>
    <w:rsid w:val="003C5309"/>
    <w:rsid w:val="003C6862"/>
    <w:rsid w:val="003D041C"/>
    <w:rsid w:val="003D114B"/>
    <w:rsid w:val="003D1644"/>
    <w:rsid w:val="003D4EBA"/>
    <w:rsid w:val="003D57F0"/>
    <w:rsid w:val="003D7EC4"/>
    <w:rsid w:val="003E0AEF"/>
    <w:rsid w:val="003E29C8"/>
    <w:rsid w:val="003E3339"/>
    <w:rsid w:val="003E380A"/>
    <w:rsid w:val="003F40BB"/>
    <w:rsid w:val="00402EFA"/>
    <w:rsid w:val="00404D88"/>
    <w:rsid w:val="00407975"/>
    <w:rsid w:val="0041060B"/>
    <w:rsid w:val="00410DA1"/>
    <w:rsid w:val="00413791"/>
    <w:rsid w:val="004144CB"/>
    <w:rsid w:val="00415BDE"/>
    <w:rsid w:val="00417635"/>
    <w:rsid w:val="00426051"/>
    <w:rsid w:val="00430F29"/>
    <w:rsid w:val="00432584"/>
    <w:rsid w:val="00434067"/>
    <w:rsid w:val="004400DF"/>
    <w:rsid w:val="00441715"/>
    <w:rsid w:val="00443813"/>
    <w:rsid w:val="00445B8B"/>
    <w:rsid w:val="0044639C"/>
    <w:rsid w:val="00453F79"/>
    <w:rsid w:val="004562A7"/>
    <w:rsid w:val="0045708E"/>
    <w:rsid w:val="004571E7"/>
    <w:rsid w:val="00457ADF"/>
    <w:rsid w:val="00463FF4"/>
    <w:rsid w:val="00464C60"/>
    <w:rsid w:val="004720F5"/>
    <w:rsid w:val="004748BC"/>
    <w:rsid w:val="004748E5"/>
    <w:rsid w:val="004826DC"/>
    <w:rsid w:val="0048337D"/>
    <w:rsid w:val="00483CAC"/>
    <w:rsid w:val="004873F7"/>
    <w:rsid w:val="00491C3B"/>
    <w:rsid w:val="00493439"/>
    <w:rsid w:val="004935E8"/>
    <w:rsid w:val="004965EB"/>
    <w:rsid w:val="00497006"/>
    <w:rsid w:val="004B31E4"/>
    <w:rsid w:val="004C0792"/>
    <w:rsid w:val="004C2C04"/>
    <w:rsid w:val="004C2E0E"/>
    <w:rsid w:val="004D0C5E"/>
    <w:rsid w:val="004D6FBF"/>
    <w:rsid w:val="004D7F45"/>
    <w:rsid w:val="004E1B4C"/>
    <w:rsid w:val="004E23A6"/>
    <w:rsid w:val="004E3904"/>
    <w:rsid w:val="00501014"/>
    <w:rsid w:val="005036E2"/>
    <w:rsid w:val="00504466"/>
    <w:rsid w:val="005070DE"/>
    <w:rsid w:val="00511168"/>
    <w:rsid w:val="00511575"/>
    <w:rsid w:val="005116C5"/>
    <w:rsid w:val="00515156"/>
    <w:rsid w:val="00520D6A"/>
    <w:rsid w:val="00523906"/>
    <w:rsid w:val="0052640F"/>
    <w:rsid w:val="00526BE5"/>
    <w:rsid w:val="00526CFC"/>
    <w:rsid w:val="00532AB2"/>
    <w:rsid w:val="00541C44"/>
    <w:rsid w:val="00543A10"/>
    <w:rsid w:val="00545C03"/>
    <w:rsid w:val="00545D61"/>
    <w:rsid w:val="005460F5"/>
    <w:rsid w:val="00547F14"/>
    <w:rsid w:val="0055508E"/>
    <w:rsid w:val="00555DFD"/>
    <w:rsid w:val="00557FE0"/>
    <w:rsid w:val="005614C7"/>
    <w:rsid w:val="005623F4"/>
    <w:rsid w:val="00562DE5"/>
    <w:rsid w:val="005706B4"/>
    <w:rsid w:val="00570840"/>
    <w:rsid w:val="00572CE2"/>
    <w:rsid w:val="005741C1"/>
    <w:rsid w:val="00574AB7"/>
    <w:rsid w:val="00576851"/>
    <w:rsid w:val="00576959"/>
    <w:rsid w:val="005815AD"/>
    <w:rsid w:val="00584EC4"/>
    <w:rsid w:val="0058643D"/>
    <w:rsid w:val="00586635"/>
    <w:rsid w:val="00593E12"/>
    <w:rsid w:val="0059782D"/>
    <w:rsid w:val="005A29A6"/>
    <w:rsid w:val="005A2CD8"/>
    <w:rsid w:val="005A32CC"/>
    <w:rsid w:val="005A361E"/>
    <w:rsid w:val="005A5689"/>
    <w:rsid w:val="005A6EA1"/>
    <w:rsid w:val="005B7108"/>
    <w:rsid w:val="005B77E5"/>
    <w:rsid w:val="005C0693"/>
    <w:rsid w:val="005C0D48"/>
    <w:rsid w:val="005C28B3"/>
    <w:rsid w:val="005C3411"/>
    <w:rsid w:val="005C4A11"/>
    <w:rsid w:val="005D028A"/>
    <w:rsid w:val="005E2E3F"/>
    <w:rsid w:val="005E3AB0"/>
    <w:rsid w:val="005E517A"/>
    <w:rsid w:val="005E5BDD"/>
    <w:rsid w:val="005E5BE2"/>
    <w:rsid w:val="005F0617"/>
    <w:rsid w:val="005F0ADE"/>
    <w:rsid w:val="005F3064"/>
    <w:rsid w:val="0060012E"/>
    <w:rsid w:val="00600E58"/>
    <w:rsid w:val="00601F3E"/>
    <w:rsid w:val="006033F4"/>
    <w:rsid w:val="00603D2E"/>
    <w:rsid w:val="00605D12"/>
    <w:rsid w:val="0061018C"/>
    <w:rsid w:val="006107C0"/>
    <w:rsid w:val="0061111E"/>
    <w:rsid w:val="00612567"/>
    <w:rsid w:val="00613C5A"/>
    <w:rsid w:val="00616B23"/>
    <w:rsid w:val="00621995"/>
    <w:rsid w:val="00633F1F"/>
    <w:rsid w:val="00635B2E"/>
    <w:rsid w:val="00635B68"/>
    <w:rsid w:val="0064156B"/>
    <w:rsid w:val="00642BFC"/>
    <w:rsid w:val="0065219D"/>
    <w:rsid w:val="00652A7A"/>
    <w:rsid w:val="0065574A"/>
    <w:rsid w:val="00656F9E"/>
    <w:rsid w:val="00666188"/>
    <w:rsid w:val="0066777D"/>
    <w:rsid w:val="00674CF7"/>
    <w:rsid w:val="006763FA"/>
    <w:rsid w:val="0067687A"/>
    <w:rsid w:val="00677844"/>
    <w:rsid w:val="006807A3"/>
    <w:rsid w:val="00680D1C"/>
    <w:rsid w:val="00681EB5"/>
    <w:rsid w:val="00682FEF"/>
    <w:rsid w:val="0068322C"/>
    <w:rsid w:val="00687A2C"/>
    <w:rsid w:val="00693F19"/>
    <w:rsid w:val="0069781B"/>
    <w:rsid w:val="006A24C4"/>
    <w:rsid w:val="006A313E"/>
    <w:rsid w:val="006A5573"/>
    <w:rsid w:val="006A5D8E"/>
    <w:rsid w:val="006A7FD2"/>
    <w:rsid w:val="006B2A1E"/>
    <w:rsid w:val="006B34A9"/>
    <w:rsid w:val="006B5233"/>
    <w:rsid w:val="006B559A"/>
    <w:rsid w:val="006B633D"/>
    <w:rsid w:val="006C0BBA"/>
    <w:rsid w:val="006C23C9"/>
    <w:rsid w:val="006C2A2A"/>
    <w:rsid w:val="006C3C41"/>
    <w:rsid w:val="006C3C7E"/>
    <w:rsid w:val="006C4FDF"/>
    <w:rsid w:val="006D111D"/>
    <w:rsid w:val="006D1CDF"/>
    <w:rsid w:val="006D4527"/>
    <w:rsid w:val="006D5A57"/>
    <w:rsid w:val="006D662A"/>
    <w:rsid w:val="006E0B0B"/>
    <w:rsid w:val="006E117B"/>
    <w:rsid w:val="006E1E1A"/>
    <w:rsid w:val="006E6CB8"/>
    <w:rsid w:val="006E754C"/>
    <w:rsid w:val="006E7E13"/>
    <w:rsid w:val="006F28B2"/>
    <w:rsid w:val="006F2EBE"/>
    <w:rsid w:val="006F68FA"/>
    <w:rsid w:val="00701F8E"/>
    <w:rsid w:val="007025C6"/>
    <w:rsid w:val="00703FB9"/>
    <w:rsid w:val="007077B9"/>
    <w:rsid w:val="00707D3A"/>
    <w:rsid w:val="0071255E"/>
    <w:rsid w:val="0071316F"/>
    <w:rsid w:val="0071340E"/>
    <w:rsid w:val="007145D5"/>
    <w:rsid w:val="00714AB4"/>
    <w:rsid w:val="00715A6A"/>
    <w:rsid w:val="00716175"/>
    <w:rsid w:val="00717EE8"/>
    <w:rsid w:val="007214C0"/>
    <w:rsid w:val="007219B5"/>
    <w:rsid w:val="007223E9"/>
    <w:rsid w:val="007258BD"/>
    <w:rsid w:val="00731DDC"/>
    <w:rsid w:val="007323FB"/>
    <w:rsid w:val="00736693"/>
    <w:rsid w:val="00736B0F"/>
    <w:rsid w:val="00736E60"/>
    <w:rsid w:val="00737330"/>
    <w:rsid w:val="00740FD3"/>
    <w:rsid w:val="007414E2"/>
    <w:rsid w:val="00741C12"/>
    <w:rsid w:val="00741F39"/>
    <w:rsid w:val="0074313E"/>
    <w:rsid w:val="00743529"/>
    <w:rsid w:val="00743D79"/>
    <w:rsid w:val="0074554D"/>
    <w:rsid w:val="00745741"/>
    <w:rsid w:val="007531C5"/>
    <w:rsid w:val="0075369B"/>
    <w:rsid w:val="00754619"/>
    <w:rsid w:val="007547EC"/>
    <w:rsid w:val="00760C25"/>
    <w:rsid w:val="007615E6"/>
    <w:rsid w:val="00763E8F"/>
    <w:rsid w:val="00767387"/>
    <w:rsid w:val="00770D99"/>
    <w:rsid w:val="00771570"/>
    <w:rsid w:val="0077285E"/>
    <w:rsid w:val="007732B6"/>
    <w:rsid w:val="0077465E"/>
    <w:rsid w:val="00777A5A"/>
    <w:rsid w:val="00783650"/>
    <w:rsid w:val="00785259"/>
    <w:rsid w:val="0078663B"/>
    <w:rsid w:val="00786AC5"/>
    <w:rsid w:val="0078792C"/>
    <w:rsid w:val="00791202"/>
    <w:rsid w:val="00794FBB"/>
    <w:rsid w:val="007950E3"/>
    <w:rsid w:val="00795A60"/>
    <w:rsid w:val="007965C6"/>
    <w:rsid w:val="00796904"/>
    <w:rsid w:val="00797628"/>
    <w:rsid w:val="007A44F7"/>
    <w:rsid w:val="007A52F7"/>
    <w:rsid w:val="007A59D0"/>
    <w:rsid w:val="007A662A"/>
    <w:rsid w:val="007B1C26"/>
    <w:rsid w:val="007B4703"/>
    <w:rsid w:val="007B5E64"/>
    <w:rsid w:val="007B7510"/>
    <w:rsid w:val="007B7CE0"/>
    <w:rsid w:val="007C0DF8"/>
    <w:rsid w:val="007C1117"/>
    <w:rsid w:val="007C2BF5"/>
    <w:rsid w:val="007C579B"/>
    <w:rsid w:val="007C6390"/>
    <w:rsid w:val="007D23ED"/>
    <w:rsid w:val="007D2CB1"/>
    <w:rsid w:val="007D6BB7"/>
    <w:rsid w:val="007D7621"/>
    <w:rsid w:val="007E1F08"/>
    <w:rsid w:val="007E372A"/>
    <w:rsid w:val="007E552F"/>
    <w:rsid w:val="007E6526"/>
    <w:rsid w:val="007E7382"/>
    <w:rsid w:val="007F4BD9"/>
    <w:rsid w:val="00804A31"/>
    <w:rsid w:val="0080656A"/>
    <w:rsid w:val="00807142"/>
    <w:rsid w:val="00814606"/>
    <w:rsid w:val="00815074"/>
    <w:rsid w:val="00816B9D"/>
    <w:rsid w:val="008177B5"/>
    <w:rsid w:val="0082153E"/>
    <w:rsid w:val="008251BB"/>
    <w:rsid w:val="00827294"/>
    <w:rsid w:val="00835E37"/>
    <w:rsid w:val="008372F7"/>
    <w:rsid w:val="008455D6"/>
    <w:rsid w:val="00846DC4"/>
    <w:rsid w:val="008475EB"/>
    <w:rsid w:val="00850CEC"/>
    <w:rsid w:val="00852F00"/>
    <w:rsid w:val="008563B4"/>
    <w:rsid w:val="008569FB"/>
    <w:rsid w:val="00861920"/>
    <w:rsid w:val="0086259B"/>
    <w:rsid w:val="0086478F"/>
    <w:rsid w:val="00875C03"/>
    <w:rsid w:val="00882311"/>
    <w:rsid w:val="00885755"/>
    <w:rsid w:val="00887AB1"/>
    <w:rsid w:val="00890C24"/>
    <w:rsid w:val="008940C4"/>
    <w:rsid w:val="00895DB1"/>
    <w:rsid w:val="00896477"/>
    <w:rsid w:val="00896D93"/>
    <w:rsid w:val="008A09D1"/>
    <w:rsid w:val="008A1768"/>
    <w:rsid w:val="008A4F95"/>
    <w:rsid w:val="008A5F5C"/>
    <w:rsid w:val="008B0FE2"/>
    <w:rsid w:val="008B12F2"/>
    <w:rsid w:val="008B3A9C"/>
    <w:rsid w:val="008C3C96"/>
    <w:rsid w:val="008C58B8"/>
    <w:rsid w:val="008C59DE"/>
    <w:rsid w:val="008C5B43"/>
    <w:rsid w:val="008C5FF0"/>
    <w:rsid w:val="008C7139"/>
    <w:rsid w:val="008C7237"/>
    <w:rsid w:val="008D188E"/>
    <w:rsid w:val="008D2555"/>
    <w:rsid w:val="008D4927"/>
    <w:rsid w:val="008D6B0E"/>
    <w:rsid w:val="008D6BBF"/>
    <w:rsid w:val="008E356E"/>
    <w:rsid w:val="008E3A3B"/>
    <w:rsid w:val="008E4339"/>
    <w:rsid w:val="008E641A"/>
    <w:rsid w:val="008F33A2"/>
    <w:rsid w:val="008F749D"/>
    <w:rsid w:val="00907716"/>
    <w:rsid w:val="009116BC"/>
    <w:rsid w:val="00913F28"/>
    <w:rsid w:val="00914718"/>
    <w:rsid w:val="009158FF"/>
    <w:rsid w:val="00917A2B"/>
    <w:rsid w:val="00922C90"/>
    <w:rsid w:val="00923B62"/>
    <w:rsid w:val="009247C8"/>
    <w:rsid w:val="00926C84"/>
    <w:rsid w:val="009301AA"/>
    <w:rsid w:val="0093128F"/>
    <w:rsid w:val="009314BA"/>
    <w:rsid w:val="00933240"/>
    <w:rsid w:val="00935BF7"/>
    <w:rsid w:val="00942C0F"/>
    <w:rsid w:val="009433F4"/>
    <w:rsid w:val="00944991"/>
    <w:rsid w:val="00946763"/>
    <w:rsid w:val="00952167"/>
    <w:rsid w:val="00952C5A"/>
    <w:rsid w:val="009554E4"/>
    <w:rsid w:val="00957836"/>
    <w:rsid w:val="009632EA"/>
    <w:rsid w:val="00964089"/>
    <w:rsid w:val="009669B7"/>
    <w:rsid w:val="00973194"/>
    <w:rsid w:val="00975B63"/>
    <w:rsid w:val="00976DAD"/>
    <w:rsid w:val="00981C9C"/>
    <w:rsid w:val="0098324F"/>
    <w:rsid w:val="00983E57"/>
    <w:rsid w:val="00986299"/>
    <w:rsid w:val="0098634F"/>
    <w:rsid w:val="009865CD"/>
    <w:rsid w:val="00992400"/>
    <w:rsid w:val="00995CA4"/>
    <w:rsid w:val="00997284"/>
    <w:rsid w:val="00997653"/>
    <w:rsid w:val="009B127F"/>
    <w:rsid w:val="009B16F3"/>
    <w:rsid w:val="009B2CEF"/>
    <w:rsid w:val="009B2EF7"/>
    <w:rsid w:val="009B5283"/>
    <w:rsid w:val="009C4DF3"/>
    <w:rsid w:val="009C6AD4"/>
    <w:rsid w:val="009C7CA5"/>
    <w:rsid w:val="009D22A5"/>
    <w:rsid w:val="009D2DDD"/>
    <w:rsid w:val="009D4BD9"/>
    <w:rsid w:val="009E10B7"/>
    <w:rsid w:val="009E60E2"/>
    <w:rsid w:val="009F18B0"/>
    <w:rsid w:val="009F37ED"/>
    <w:rsid w:val="009F565C"/>
    <w:rsid w:val="00A07E83"/>
    <w:rsid w:val="00A1321E"/>
    <w:rsid w:val="00A141CE"/>
    <w:rsid w:val="00A14577"/>
    <w:rsid w:val="00A14807"/>
    <w:rsid w:val="00A14F63"/>
    <w:rsid w:val="00A15200"/>
    <w:rsid w:val="00A1594C"/>
    <w:rsid w:val="00A176A8"/>
    <w:rsid w:val="00A179D2"/>
    <w:rsid w:val="00A23748"/>
    <w:rsid w:val="00A24189"/>
    <w:rsid w:val="00A24EF3"/>
    <w:rsid w:val="00A2636F"/>
    <w:rsid w:val="00A2768E"/>
    <w:rsid w:val="00A277AB"/>
    <w:rsid w:val="00A310C8"/>
    <w:rsid w:val="00A32481"/>
    <w:rsid w:val="00A32680"/>
    <w:rsid w:val="00A327CC"/>
    <w:rsid w:val="00A35E92"/>
    <w:rsid w:val="00A36A0D"/>
    <w:rsid w:val="00A41241"/>
    <w:rsid w:val="00A43E73"/>
    <w:rsid w:val="00A45EA2"/>
    <w:rsid w:val="00A4772F"/>
    <w:rsid w:val="00A52BB2"/>
    <w:rsid w:val="00A53192"/>
    <w:rsid w:val="00A5462F"/>
    <w:rsid w:val="00A54DF8"/>
    <w:rsid w:val="00A5796C"/>
    <w:rsid w:val="00A64043"/>
    <w:rsid w:val="00A64280"/>
    <w:rsid w:val="00A72751"/>
    <w:rsid w:val="00A832B5"/>
    <w:rsid w:val="00A83B21"/>
    <w:rsid w:val="00A85698"/>
    <w:rsid w:val="00A862F4"/>
    <w:rsid w:val="00A90BEA"/>
    <w:rsid w:val="00A921A0"/>
    <w:rsid w:val="00A939D0"/>
    <w:rsid w:val="00A93B1E"/>
    <w:rsid w:val="00AA0D7F"/>
    <w:rsid w:val="00AA4E68"/>
    <w:rsid w:val="00AA7054"/>
    <w:rsid w:val="00AA7557"/>
    <w:rsid w:val="00AB362A"/>
    <w:rsid w:val="00AB5181"/>
    <w:rsid w:val="00AB55C2"/>
    <w:rsid w:val="00AB78CE"/>
    <w:rsid w:val="00AC0756"/>
    <w:rsid w:val="00AC11CE"/>
    <w:rsid w:val="00AC1F0A"/>
    <w:rsid w:val="00AC2191"/>
    <w:rsid w:val="00AD0527"/>
    <w:rsid w:val="00AD16F2"/>
    <w:rsid w:val="00AD2A66"/>
    <w:rsid w:val="00AD405F"/>
    <w:rsid w:val="00AD446D"/>
    <w:rsid w:val="00AD5AA5"/>
    <w:rsid w:val="00AE2FFE"/>
    <w:rsid w:val="00AE5786"/>
    <w:rsid w:val="00AF0722"/>
    <w:rsid w:val="00AF23E9"/>
    <w:rsid w:val="00B008C9"/>
    <w:rsid w:val="00B054F8"/>
    <w:rsid w:val="00B06E8D"/>
    <w:rsid w:val="00B073C9"/>
    <w:rsid w:val="00B07D51"/>
    <w:rsid w:val="00B10F60"/>
    <w:rsid w:val="00B11E03"/>
    <w:rsid w:val="00B131F9"/>
    <w:rsid w:val="00B1469B"/>
    <w:rsid w:val="00B14C72"/>
    <w:rsid w:val="00B15AA0"/>
    <w:rsid w:val="00B21161"/>
    <w:rsid w:val="00B232BA"/>
    <w:rsid w:val="00B25F3F"/>
    <w:rsid w:val="00B26E33"/>
    <w:rsid w:val="00B30E35"/>
    <w:rsid w:val="00B318C9"/>
    <w:rsid w:val="00B320C9"/>
    <w:rsid w:val="00B35A3E"/>
    <w:rsid w:val="00B408DE"/>
    <w:rsid w:val="00B42223"/>
    <w:rsid w:val="00B43577"/>
    <w:rsid w:val="00B4494A"/>
    <w:rsid w:val="00B47B65"/>
    <w:rsid w:val="00B50337"/>
    <w:rsid w:val="00B52DCB"/>
    <w:rsid w:val="00B57BB1"/>
    <w:rsid w:val="00B57F42"/>
    <w:rsid w:val="00B6035C"/>
    <w:rsid w:val="00B63C1E"/>
    <w:rsid w:val="00B6423F"/>
    <w:rsid w:val="00B678F4"/>
    <w:rsid w:val="00B67CE1"/>
    <w:rsid w:val="00B72BDB"/>
    <w:rsid w:val="00B73977"/>
    <w:rsid w:val="00B760FB"/>
    <w:rsid w:val="00B76EB3"/>
    <w:rsid w:val="00B7775A"/>
    <w:rsid w:val="00B77E7E"/>
    <w:rsid w:val="00B809BD"/>
    <w:rsid w:val="00B81AD5"/>
    <w:rsid w:val="00B83A86"/>
    <w:rsid w:val="00B863F9"/>
    <w:rsid w:val="00B87005"/>
    <w:rsid w:val="00B909B8"/>
    <w:rsid w:val="00B92F48"/>
    <w:rsid w:val="00B96879"/>
    <w:rsid w:val="00BA16A3"/>
    <w:rsid w:val="00BA3100"/>
    <w:rsid w:val="00BA385F"/>
    <w:rsid w:val="00BA3FE5"/>
    <w:rsid w:val="00BA4FED"/>
    <w:rsid w:val="00BB1F65"/>
    <w:rsid w:val="00BB3934"/>
    <w:rsid w:val="00BB40DA"/>
    <w:rsid w:val="00BB4BD6"/>
    <w:rsid w:val="00BB509C"/>
    <w:rsid w:val="00BB60D3"/>
    <w:rsid w:val="00BC012E"/>
    <w:rsid w:val="00BC020E"/>
    <w:rsid w:val="00BC055A"/>
    <w:rsid w:val="00BC349D"/>
    <w:rsid w:val="00BC3649"/>
    <w:rsid w:val="00BC3C14"/>
    <w:rsid w:val="00BC4A21"/>
    <w:rsid w:val="00BC7F9F"/>
    <w:rsid w:val="00BE2B97"/>
    <w:rsid w:val="00BE3EBE"/>
    <w:rsid w:val="00BE7523"/>
    <w:rsid w:val="00BE7BF7"/>
    <w:rsid w:val="00BF0AD8"/>
    <w:rsid w:val="00BF2F67"/>
    <w:rsid w:val="00BF4C43"/>
    <w:rsid w:val="00BF5A54"/>
    <w:rsid w:val="00C00F76"/>
    <w:rsid w:val="00C0451D"/>
    <w:rsid w:val="00C06951"/>
    <w:rsid w:val="00C07EBC"/>
    <w:rsid w:val="00C12073"/>
    <w:rsid w:val="00C135F1"/>
    <w:rsid w:val="00C13ED5"/>
    <w:rsid w:val="00C15165"/>
    <w:rsid w:val="00C15271"/>
    <w:rsid w:val="00C154C7"/>
    <w:rsid w:val="00C164BD"/>
    <w:rsid w:val="00C17588"/>
    <w:rsid w:val="00C27F17"/>
    <w:rsid w:val="00C318B6"/>
    <w:rsid w:val="00C32287"/>
    <w:rsid w:val="00C34874"/>
    <w:rsid w:val="00C34B28"/>
    <w:rsid w:val="00C4240E"/>
    <w:rsid w:val="00C44987"/>
    <w:rsid w:val="00C45FF0"/>
    <w:rsid w:val="00C474CD"/>
    <w:rsid w:val="00C505E8"/>
    <w:rsid w:val="00C513BF"/>
    <w:rsid w:val="00C53412"/>
    <w:rsid w:val="00C57690"/>
    <w:rsid w:val="00C57A61"/>
    <w:rsid w:val="00C6135C"/>
    <w:rsid w:val="00C62508"/>
    <w:rsid w:val="00C63DCE"/>
    <w:rsid w:val="00C6593B"/>
    <w:rsid w:val="00C743C3"/>
    <w:rsid w:val="00C745F1"/>
    <w:rsid w:val="00C81913"/>
    <w:rsid w:val="00C822F4"/>
    <w:rsid w:val="00C84860"/>
    <w:rsid w:val="00C84C88"/>
    <w:rsid w:val="00C84C95"/>
    <w:rsid w:val="00C84D4C"/>
    <w:rsid w:val="00C8766F"/>
    <w:rsid w:val="00C95A96"/>
    <w:rsid w:val="00C95DAB"/>
    <w:rsid w:val="00C96245"/>
    <w:rsid w:val="00CA18DA"/>
    <w:rsid w:val="00CA2811"/>
    <w:rsid w:val="00CA3D4A"/>
    <w:rsid w:val="00CB0CC9"/>
    <w:rsid w:val="00CB3759"/>
    <w:rsid w:val="00CB67FC"/>
    <w:rsid w:val="00CC0654"/>
    <w:rsid w:val="00CC16BB"/>
    <w:rsid w:val="00CC2312"/>
    <w:rsid w:val="00CC331F"/>
    <w:rsid w:val="00CC7450"/>
    <w:rsid w:val="00CD097D"/>
    <w:rsid w:val="00CD2B4B"/>
    <w:rsid w:val="00CD5BB6"/>
    <w:rsid w:val="00CD7FFA"/>
    <w:rsid w:val="00CE1CD6"/>
    <w:rsid w:val="00CF2D86"/>
    <w:rsid w:val="00CF5F7B"/>
    <w:rsid w:val="00D00A93"/>
    <w:rsid w:val="00D04D53"/>
    <w:rsid w:val="00D05B63"/>
    <w:rsid w:val="00D05D4A"/>
    <w:rsid w:val="00D06555"/>
    <w:rsid w:val="00D1033F"/>
    <w:rsid w:val="00D201B7"/>
    <w:rsid w:val="00D218EC"/>
    <w:rsid w:val="00D238E6"/>
    <w:rsid w:val="00D32049"/>
    <w:rsid w:val="00D33825"/>
    <w:rsid w:val="00D34F32"/>
    <w:rsid w:val="00D36A8C"/>
    <w:rsid w:val="00D37D3B"/>
    <w:rsid w:val="00D42400"/>
    <w:rsid w:val="00D42853"/>
    <w:rsid w:val="00D4474C"/>
    <w:rsid w:val="00D52D0E"/>
    <w:rsid w:val="00D57463"/>
    <w:rsid w:val="00D57B5D"/>
    <w:rsid w:val="00D57DE6"/>
    <w:rsid w:val="00D60DA5"/>
    <w:rsid w:val="00D60EC5"/>
    <w:rsid w:val="00D61B35"/>
    <w:rsid w:val="00D65664"/>
    <w:rsid w:val="00D65AD2"/>
    <w:rsid w:val="00D67DF3"/>
    <w:rsid w:val="00D724E7"/>
    <w:rsid w:val="00D75A67"/>
    <w:rsid w:val="00D77778"/>
    <w:rsid w:val="00D77E52"/>
    <w:rsid w:val="00D80AAB"/>
    <w:rsid w:val="00D80CB6"/>
    <w:rsid w:val="00D821E7"/>
    <w:rsid w:val="00D82239"/>
    <w:rsid w:val="00D82C64"/>
    <w:rsid w:val="00D90A30"/>
    <w:rsid w:val="00D94485"/>
    <w:rsid w:val="00D971D4"/>
    <w:rsid w:val="00D97682"/>
    <w:rsid w:val="00DA189C"/>
    <w:rsid w:val="00DA1D78"/>
    <w:rsid w:val="00DA549B"/>
    <w:rsid w:val="00DB3F79"/>
    <w:rsid w:val="00DB7290"/>
    <w:rsid w:val="00DC1C33"/>
    <w:rsid w:val="00DC4830"/>
    <w:rsid w:val="00DC4DEF"/>
    <w:rsid w:val="00DC5CDA"/>
    <w:rsid w:val="00DC6563"/>
    <w:rsid w:val="00DD1072"/>
    <w:rsid w:val="00DE2887"/>
    <w:rsid w:val="00DE36AE"/>
    <w:rsid w:val="00DE5481"/>
    <w:rsid w:val="00DE5791"/>
    <w:rsid w:val="00DF0AAC"/>
    <w:rsid w:val="00DF1666"/>
    <w:rsid w:val="00DF2981"/>
    <w:rsid w:val="00DF66A6"/>
    <w:rsid w:val="00E00BCA"/>
    <w:rsid w:val="00E022A9"/>
    <w:rsid w:val="00E04351"/>
    <w:rsid w:val="00E1234E"/>
    <w:rsid w:val="00E140F0"/>
    <w:rsid w:val="00E15FB1"/>
    <w:rsid w:val="00E23911"/>
    <w:rsid w:val="00E25458"/>
    <w:rsid w:val="00E3073B"/>
    <w:rsid w:val="00E32987"/>
    <w:rsid w:val="00E344FF"/>
    <w:rsid w:val="00E34EA7"/>
    <w:rsid w:val="00E361CC"/>
    <w:rsid w:val="00E36B0D"/>
    <w:rsid w:val="00E414FB"/>
    <w:rsid w:val="00E42139"/>
    <w:rsid w:val="00E43AF6"/>
    <w:rsid w:val="00E43F50"/>
    <w:rsid w:val="00E469BF"/>
    <w:rsid w:val="00E51946"/>
    <w:rsid w:val="00E524BD"/>
    <w:rsid w:val="00E549DA"/>
    <w:rsid w:val="00E54D90"/>
    <w:rsid w:val="00E56595"/>
    <w:rsid w:val="00E56B80"/>
    <w:rsid w:val="00E57E55"/>
    <w:rsid w:val="00E6324A"/>
    <w:rsid w:val="00E63A22"/>
    <w:rsid w:val="00E65F64"/>
    <w:rsid w:val="00E74E79"/>
    <w:rsid w:val="00E76823"/>
    <w:rsid w:val="00E7739C"/>
    <w:rsid w:val="00E80625"/>
    <w:rsid w:val="00E80B4B"/>
    <w:rsid w:val="00E8259F"/>
    <w:rsid w:val="00E855FA"/>
    <w:rsid w:val="00E865C5"/>
    <w:rsid w:val="00E92658"/>
    <w:rsid w:val="00E92783"/>
    <w:rsid w:val="00EA3EFF"/>
    <w:rsid w:val="00EA4FD2"/>
    <w:rsid w:val="00EA7140"/>
    <w:rsid w:val="00EB375B"/>
    <w:rsid w:val="00EC0F70"/>
    <w:rsid w:val="00EC27AA"/>
    <w:rsid w:val="00EC3209"/>
    <w:rsid w:val="00ED50F0"/>
    <w:rsid w:val="00EE3995"/>
    <w:rsid w:val="00EE4B19"/>
    <w:rsid w:val="00EE72AA"/>
    <w:rsid w:val="00EF53F5"/>
    <w:rsid w:val="00F03811"/>
    <w:rsid w:val="00F07624"/>
    <w:rsid w:val="00F134C5"/>
    <w:rsid w:val="00F17C5C"/>
    <w:rsid w:val="00F26AA3"/>
    <w:rsid w:val="00F27E16"/>
    <w:rsid w:val="00F300AC"/>
    <w:rsid w:val="00F3182F"/>
    <w:rsid w:val="00F341C0"/>
    <w:rsid w:val="00F34F79"/>
    <w:rsid w:val="00F36A47"/>
    <w:rsid w:val="00F43C82"/>
    <w:rsid w:val="00F441D6"/>
    <w:rsid w:val="00F454E4"/>
    <w:rsid w:val="00F463C8"/>
    <w:rsid w:val="00F46F81"/>
    <w:rsid w:val="00F47B5F"/>
    <w:rsid w:val="00F514D8"/>
    <w:rsid w:val="00F52A28"/>
    <w:rsid w:val="00F52A77"/>
    <w:rsid w:val="00F606E1"/>
    <w:rsid w:val="00F61D9F"/>
    <w:rsid w:val="00F630D8"/>
    <w:rsid w:val="00F631F1"/>
    <w:rsid w:val="00F63D0D"/>
    <w:rsid w:val="00F64652"/>
    <w:rsid w:val="00F67F1F"/>
    <w:rsid w:val="00F7492B"/>
    <w:rsid w:val="00F753C8"/>
    <w:rsid w:val="00F77805"/>
    <w:rsid w:val="00F8027A"/>
    <w:rsid w:val="00F83E2C"/>
    <w:rsid w:val="00F83F7F"/>
    <w:rsid w:val="00F8600F"/>
    <w:rsid w:val="00F867BD"/>
    <w:rsid w:val="00F86C91"/>
    <w:rsid w:val="00F909C9"/>
    <w:rsid w:val="00F90EED"/>
    <w:rsid w:val="00F94512"/>
    <w:rsid w:val="00F946E9"/>
    <w:rsid w:val="00F94D33"/>
    <w:rsid w:val="00F954B6"/>
    <w:rsid w:val="00FA03EF"/>
    <w:rsid w:val="00FA39C0"/>
    <w:rsid w:val="00FA7C84"/>
    <w:rsid w:val="00FB10FF"/>
    <w:rsid w:val="00FB2172"/>
    <w:rsid w:val="00FB6452"/>
    <w:rsid w:val="00FB7395"/>
    <w:rsid w:val="00FC23CE"/>
    <w:rsid w:val="00FC3C6E"/>
    <w:rsid w:val="00FC5F2A"/>
    <w:rsid w:val="00FC665F"/>
    <w:rsid w:val="00FD0173"/>
    <w:rsid w:val="00FD2938"/>
    <w:rsid w:val="00FD6E1D"/>
    <w:rsid w:val="00FE47C1"/>
    <w:rsid w:val="00FE5D1F"/>
    <w:rsid w:val="00FF0DFA"/>
    <w:rsid w:val="00FF1795"/>
    <w:rsid w:val="00FF1F69"/>
    <w:rsid w:val="00FF2F82"/>
    <w:rsid w:val="00FF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88"/>
    <w:pPr>
      <w:widowControl w:val="0"/>
    </w:pPr>
    <w:rPr>
      <w:rFonts w:ascii="Times New Roman" w:hAnsi="Times New Roman"/>
      <w:sz w:val="24"/>
      <w:szCs w:val="22"/>
    </w:rPr>
  </w:style>
  <w:style w:type="paragraph" w:styleId="Naslov1">
    <w:name w:val="heading 1"/>
    <w:basedOn w:val="Normal"/>
    <w:next w:val="Normal"/>
    <w:link w:val="Naslov1Char"/>
    <w:qFormat/>
    <w:rsid w:val="00362F88"/>
    <w:pPr>
      <w:keepNext/>
      <w:autoSpaceDE w:val="0"/>
      <w:autoSpaceDN w:val="0"/>
      <w:adjustRightInd w:val="0"/>
      <w:ind w:firstLine="708"/>
      <w:jc w:val="both"/>
      <w:outlineLvl w:val="0"/>
    </w:pPr>
    <w:rPr>
      <w:b/>
      <w:bCs/>
      <w:i/>
      <w:iCs/>
      <w:szCs w:val="24"/>
    </w:rPr>
  </w:style>
  <w:style w:type="paragraph" w:styleId="Naslov2">
    <w:name w:val="heading 2"/>
    <w:basedOn w:val="Normal"/>
    <w:next w:val="Normal"/>
    <w:link w:val="Naslov2Char"/>
    <w:qFormat/>
    <w:rsid w:val="00362F88"/>
    <w:pPr>
      <w:keepNext/>
      <w:ind w:firstLine="708"/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link w:val="Naslov3Char"/>
    <w:autoRedefine/>
    <w:qFormat/>
    <w:rsid w:val="00362F88"/>
    <w:pPr>
      <w:keepNext/>
      <w:tabs>
        <w:tab w:val="left" w:pos="567"/>
      </w:tabs>
      <w:jc w:val="both"/>
      <w:outlineLvl w:val="2"/>
    </w:pPr>
    <w:rPr>
      <w:rFonts w:eastAsia="Times New Roman"/>
      <w:b/>
      <w:iCs/>
      <w:snapToGrid w:val="0"/>
      <w:szCs w:val="24"/>
    </w:rPr>
  </w:style>
  <w:style w:type="paragraph" w:styleId="Naslov4">
    <w:name w:val="heading 4"/>
    <w:basedOn w:val="Normal"/>
    <w:next w:val="Normal"/>
    <w:link w:val="Naslov4Char"/>
    <w:qFormat/>
    <w:rsid w:val="00362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362F8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ormal"/>
    <w:next w:val="Normal"/>
    <w:link w:val="Naslov6Char"/>
    <w:qFormat/>
    <w:rsid w:val="00362F88"/>
    <w:pPr>
      <w:spacing w:before="240" w:after="60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qFormat/>
    <w:rsid w:val="00362F88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2F88"/>
    <w:rPr>
      <w:rFonts w:ascii="Times New Roman" w:hAnsi="Times New Roman"/>
      <w:b/>
      <w:bCs/>
      <w:i/>
      <w:i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62F88"/>
    <w:rPr>
      <w:rFonts w:ascii="Times New Roman" w:hAnsi="Times New Roman"/>
      <w:b/>
      <w:bCs/>
      <w:i/>
      <w:iCs/>
      <w:sz w:val="24"/>
      <w:szCs w:val="22"/>
    </w:rPr>
  </w:style>
  <w:style w:type="character" w:customStyle="1" w:styleId="Naslov3Char">
    <w:name w:val="Naslov 3 Char"/>
    <w:basedOn w:val="Zadanifontodlomka"/>
    <w:link w:val="Naslov3"/>
    <w:rsid w:val="00362F88"/>
    <w:rPr>
      <w:rFonts w:ascii="Times New Roman" w:eastAsia="Times New Roman" w:hAnsi="Times New Roman"/>
      <w:b/>
      <w:iCs/>
      <w:snapToGrid w:val="0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362F88"/>
    <w:rPr>
      <w:rFonts w:ascii="Times New Roman" w:hAnsi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362F88"/>
    <w:rPr>
      <w:rFonts w:ascii="Cambria" w:eastAsia="Times New Roman" w:hAnsi="Cambria"/>
      <w:color w:val="243F60"/>
      <w:sz w:val="24"/>
      <w:szCs w:val="22"/>
    </w:rPr>
  </w:style>
  <w:style w:type="character" w:customStyle="1" w:styleId="Naslov6Char">
    <w:name w:val="Naslov 6 Char"/>
    <w:basedOn w:val="Zadanifontodlomka"/>
    <w:link w:val="Naslov6"/>
    <w:rsid w:val="00362F88"/>
    <w:rPr>
      <w:rFonts w:ascii="Times New Roman" w:hAnsi="Times New Roman"/>
      <w:b/>
      <w:bCs/>
      <w:sz w:val="24"/>
      <w:szCs w:val="22"/>
    </w:rPr>
  </w:style>
  <w:style w:type="character" w:customStyle="1" w:styleId="Naslov7Char">
    <w:name w:val="Naslov 7 Char"/>
    <w:basedOn w:val="Zadanifontodlomka"/>
    <w:link w:val="Naslov7"/>
    <w:rsid w:val="00362F88"/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qFormat/>
    <w:rsid w:val="00362F88"/>
    <w:pPr>
      <w:ind w:left="720"/>
      <w:contextualSpacing/>
    </w:pPr>
  </w:style>
  <w:style w:type="paragraph" w:styleId="Zaglavlje">
    <w:name w:val="header"/>
    <w:basedOn w:val="Normal"/>
    <w:link w:val="ZaglavljeChar"/>
    <w:rsid w:val="009554E4"/>
    <w:pPr>
      <w:widowControl/>
      <w:tabs>
        <w:tab w:val="center" w:pos="4536"/>
        <w:tab w:val="right" w:pos="9072"/>
      </w:tabs>
    </w:pPr>
    <w:rPr>
      <w:rFonts w:eastAsia="Times New Roman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554E4"/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54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4E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9554E4"/>
    <w:pPr>
      <w:widowControl/>
      <w:tabs>
        <w:tab w:val="center" w:pos="4536"/>
        <w:tab w:val="right" w:pos="9072"/>
      </w:tabs>
    </w:pPr>
    <w:rPr>
      <w:rFonts w:eastAsia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554E4"/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rsid w:val="009554E4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semiHidden/>
    <w:rsid w:val="009554E4"/>
    <w:pPr>
      <w:widowControl/>
      <w:spacing w:line="360" w:lineRule="auto"/>
      <w:ind w:firstLine="720"/>
      <w:jc w:val="both"/>
    </w:pPr>
    <w:rPr>
      <w:rFonts w:eastAsia="Times New Roman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9554E4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59"/>
    <w:rsid w:val="00955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1">
    <w:name w:val="Srednji popis 21"/>
    <w:basedOn w:val="Obinatablica"/>
    <w:uiPriority w:val="66"/>
    <w:rsid w:val="00955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ijeloteksta">
    <w:name w:val="Body Text"/>
    <w:basedOn w:val="Normal"/>
    <w:link w:val="TijelotekstaChar"/>
    <w:semiHidden/>
    <w:rsid w:val="009554E4"/>
    <w:pPr>
      <w:widowControl/>
      <w:spacing w:after="120"/>
    </w:pPr>
    <w:rPr>
      <w:rFonts w:eastAsia="Times New Roman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9554E4"/>
    <w:rPr>
      <w:rFonts w:ascii="Times New Roman" w:eastAsia="Times New Roman" w:hAnsi="Times New Roman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1F544F"/>
    <w:pPr>
      <w:widowControl/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Default">
    <w:name w:val="Default"/>
    <w:rsid w:val="00773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88"/>
    <w:pPr>
      <w:widowControl w:val="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362F88"/>
    <w:pPr>
      <w:keepNext/>
      <w:autoSpaceDE w:val="0"/>
      <w:autoSpaceDN w:val="0"/>
      <w:adjustRightInd w:val="0"/>
      <w:ind w:firstLine="708"/>
      <w:jc w:val="both"/>
      <w:outlineLvl w:val="0"/>
    </w:pPr>
    <w:rPr>
      <w:b/>
      <w:bCs/>
      <w:i/>
      <w:iCs/>
      <w:szCs w:val="24"/>
    </w:rPr>
  </w:style>
  <w:style w:type="paragraph" w:styleId="Heading2">
    <w:name w:val="heading 2"/>
    <w:basedOn w:val="Normal"/>
    <w:next w:val="Normal"/>
    <w:link w:val="Heading2Char"/>
    <w:qFormat/>
    <w:rsid w:val="00362F88"/>
    <w:pPr>
      <w:keepNext/>
      <w:ind w:firstLine="708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362F88"/>
    <w:pPr>
      <w:keepNext/>
      <w:tabs>
        <w:tab w:val="left" w:pos="567"/>
      </w:tabs>
      <w:jc w:val="both"/>
      <w:outlineLvl w:val="2"/>
    </w:pPr>
    <w:rPr>
      <w:rFonts w:eastAsia="Times New Roman"/>
      <w:b/>
      <w:iCs/>
      <w:snapToGrid w:val="0"/>
      <w:szCs w:val="24"/>
    </w:rPr>
  </w:style>
  <w:style w:type="paragraph" w:styleId="Heading4">
    <w:name w:val="heading 4"/>
    <w:basedOn w:val="Normal"/>
    <w:next w:val="Normal"/>
    <w:link w:val="Heading4Char"/>
    <w:qFormat/>
    <w:rsid w:val="00362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62F8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362F8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62F88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F88"/>
    <w:rPr>
      <w:rFonts w:ascii="Times New Roman" w:hAnsi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62F88"/>
    <w:rPr>
      <w:rFonts w:ascii="Times New Roman" w:hAnsi="Times New Roman"/>
      <w:b/>
      <w:bCs/>
      <w:i/>
      <w:iCs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362F88"/>
    <w:rPr>
      <w:rFonts w:ascii="Times New Roman" w:eastAsia="Times New Roman" w:hAnsi="Times New Roman"/>
      <w:b/>
      <w:iCs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62F88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2F88"/>
    <w:rPr>
      <w:rFonts w:ascii="Cambria" w:eastAsia="Times New Roman" w:hAnsi="Cambria"/>
      <w:color w:val="243F60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362F88"/>
    <w:rPr>
      <w:rFonts w:ascii="Times New Roman" w:hAnsi="Times New Roman"/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362F88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362F88"/>
    <w:pPr>
      <w:ind w:left="720"/>
      <w:contextualSpacing/>
    </w:pPr>
  </w:style>
  <w:style w:type="paragraph" w:styleId="Header">
    <w:name w:val="header"/>
    <w:basedOn w:val="Normal"/>
    <w:link w:val="HeaderChar"/>
    <w:rsid w:val="009554E4"/>
    <w:pPr>
      <w:widowControl/>
      <w:tabs>
        <w:tab w:val="center" w:pos="4536"/>
        <w:tab w:val="right" w:pos="9072"/>
      </w:tabs>
    </w:pPr>
    <w:rPr>
      <w:rFonts w:eastAsia="Times New Roman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9554E4"/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554E4"/>
    <w:pPr>
      <w:widowControl/>
      <w:tabs>
        <w:tab w:val="center" w:pos="4536"/>
        <w:tab w:val="right" w:pos="9072"/>
      </w:tabs>
    </w:pPr>
    <w:rPr>
      <w:rFonts w:eastAsia="Times New Roman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9554E4"/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rsid w:val="009554E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9554E4"/>
    <w:pPr>
      <w:widowControl/>
      <w:spacing w:line="360" w:lineRule="auto"/>
      <w:ind w:firstLine="720"/>
      <w:jc w:val="both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54E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5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9554E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semiHidden/>
    <w:rsid w:val="009554E4"/>
    <w:pPr>
      <w:widowControl/>
      <w:spacing w:after="120"/>
    </w:pPr>
    <w:rPr>
      <w:rFonts w:eastAsia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554E4"/>
    <w:rPr>
      <w:rFonts w:ascii="Times New Roman" w:eastAsia="Times New Roman" w:hAnsi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F544F"/>
    <w:pPr>
      <w:widowControl/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Default">
    <w:name w:val="Default"/>
    <w:rsid w:val="00773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ancije.zp@tel.net.ba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Prihodi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/>
                </a:pPr>
                <a:endParaRPr lang="sr-Latn-CS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3805310</c:v>
                </c:pt>
                <c:pt idx="1">
                  <c:v>7141363</c:v>
                </c:pt>
                <c:pt idx="2">
                  <c:v>10583934</c:v>
                </c:pt>
                <c:pt idx="3">
                  <c:v>13355066</c:v>
                </c:pt>
                <c:pt idx="4">
                  <c:v>15522623</c:v>
                </c:pt>
                <c:pt idx="5">
                  <c:v>18618588</c:v>
                </c:pt>
                <c:pt idx="6">
                  <c:v>22936724</c:v>
                </c:pt>
                <c:pt idx="7">
                  <c:v>33337031</c:v>
                </c:pt>
                <c:pt idx="8">
                  <c:v>35918777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Rashodi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</c:spPr>
          <c:dLbls>
            <c:numFmt formatCode="#,##0" sourceLinked="0"/>
            <c:txPr>
              <a:bodyPr rot="-5400000" vert="horz"/>
              <a:lstStyle/>
              <a:p>
                <a:pPr>
                  <a:defRPr sz="900"/>
                </a:pPr>
                <a:endParaRPr lang="sr-Latn-CS"/>
              </a:p>
            </c:txPr>
            <c:dLblPos val="outEnd"/>
            <c:showVal val="1"/>
          </c:dLbls>
          <c:cat>
            <c:strRef>
              <c:f>Sheet1!$A$2:$A$10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2379903</c:v>
                </c:pt>
                <c:pt idx="1">
                  <c:v>5299494</c:v>
                </c:pt>
                <c:pt idx="2">
                  <c:v>8445846</c:v>
                </c:pt>
                <c:pt idx="3">
                  <c:v>11545105</c:v>
                </c:pt>
                <c:pt idx="4">
                  <c:v>14395494</c:v>
                </c:pt>
                <c:pt idx="5">
                  <c:v>18612440</c:v>
                </c:pt>
                <c:pt idx="6">
                  <c:v>22209680</c:v>
                </c:pt>
                <c:pt idx="7">
                  <c:v>25918054</c:v>
                </c:pt>
                <c:pt idx="8">
                  <c:v>29290416</c:v>
                </c:pt>
              </c:numCache>
            </c:numRef>
          </c:val>
        </c:ser>
        <c:axId val="83096320"/>
        <c:axId val="83097856"/>
      </c:barChart>
      <c:catAx>
        <c:axId val="83096320"/>
        <c:scaling>
          <c:orientation val="minMax"/>
        </c:scaling>
        <c:axPos val="b"/>
        <c:tickLblPos val="nextTo"/>
        <c:crossAx val="83097856"/>
        <c:crosses val="autoZero"/>
        <c:auto val="1"/>
        <c:lblAlgn val="ctr"/>
        <c:lblOffset val="100"/>
      </c:catAx>
      <c:valAx>
        <c:axId val="83097856"/>
        <c:scaling>
          <c:orientation val="minMax"/>
        </c:scaling>
        <c:axPos val="l"/>
        <c:majorGridlines/>
        <c:numFmt formatCode="#,##0" sourceLinked="0"/>
        <c:tickLblPos val="nextTo"/>
        <c:crossAx val="83096320"/>
        <c:crosses val="autoZero"/>
        <c:crossBetween val="between"/>
      </c:valAx>
    </c:plotArea>
    <c:legend>
      <c:legendPos val="r"/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6224286495736792E-2"/>
          <c:y val="0.16678358387019956"/>
          <c:w val="0.83348991031953301"/>
          <c:h val="0.6696158434741235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explosion val="25"/>
          <c:dPt>
            <c:idx val="1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Lbls>
            <c:dLbl>
              <c:idx val="0"/>
              <c:layout>
                <c:manualLayout>
                  <c:x val="5.9341172219629326E-2"/>
                  <c:y val="-7.3208661417322837E-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-4.2792691066580856E-3"/>
                  <c:y val="0.15890300644237745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0.13227568590255087"/>
                  <c:y val="1.0534478644715084E-3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4.0322588739505102E-2"/>
                  <c:y val="-0.10520758768790264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600">
                    <a:latin typeface="Calibri" pitchFamily="34" charset="0"/>
                  </a:defRPr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Sheet1!$A$2:$A$3</c:f>
              <c:strCache>
                <c:ptCount val="2"/>
                <c:pt idx="0">
                  <c:v>Kap.grant.od inozemnih vlada</c:v>
                </c:pt>
                <c:pt idx="1">
                  <c:v>Kap.grant.od ostalih razina vlasti i fondova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0.39380000000000026</c:v>
                </c:pt>
                <c:pt idx="1">
                  <c:v>0.62060000000000048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Rashodi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dLbls>
            <c:numFmt formatCode="#,##0" sourceLinked="0"/>
            <c:txPr>
              <a:bodyPr rot="-5400000" vert="horz"/>
              <a:lstStyle/>
              <a:p>
                <a:pPr>
                  <a:defRPr/>
                </a:pPr>
                <a:endParaRPr lang="sr-Latn-CS"/>
              </a:p>
            </c:txPr>
            <c:showVal val="1"/>
          </c:dLbls>
          <c:cat>
            <c:strRef>
              <c:f>Sheet1!$A$2:$A$10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2379903</c:v>
                </c:pt>
                <c:pt idx="1">
                  <c:v>2919591</c:v>
                </c:pt>
                <c:pt idx="2">
                  <c:v>3146352</c:v>
                </c:pt>
                <c:pt idx="3">
                  <c:v>3099259</c:v>
                </c:pt>
                <c:pt idx="4">
                  <c:v>2850389</c:v>
                </c:pt>
                <c:pt idx="5">
                  <c:v>4216946</c:v>
                </c:pt>
                <c:pt idx="6">
                  <c:v>3597240</c:v>
                </c:pt>
                <c:pt idx="7">
                  <c:v>3708374</c:v>
                </c:pt>
                <c:pt idx="8">
                  <c:v>3372362</c:v>
                </c:pt>
              </c:numCache>
            </c:numRef>
          </c:val>
        </c:ser>
        <c:axId val="101036800"/>
        <c:axId val="101038336"/>
      </c:barChart>
      <c:catAx>
        <c:axId val="101036800"/>
        <c:scaling>
          <c:orientation val="minMax"/>
        </c:scaling>
        <c:axPos val="b"/>
        <c:tickLblPos val="nextTo"/>
        <c:crossAx val="101038336"/>
        <c:crosses val="autoZero"/>
        <c:auto val="1"/>
        <c:lblAlgn val="ctr"/>
        <c:lblOffset val="100"/>
      </c:catAx>
      <c:valAx>
        <c:axId val="101038336"/>
        <c:scaling>
          <c:orientation val="minMax"/>
        </c:scaling>
        <c:axPos val="l"/>
        <c:majorGridlines/>
        <c:numFmt formatCode="#,##0" sourceLinked="0"/>
        <c:tickLblPos val="nextTo"/>
        <c:crossAx val="101036800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tx1">
          <a:lumMod val="50000"/>
          <a:lumOff val="50000"/>
        </a:schemeClr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1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42600870543356"/>
          <c:w val="1"/>
          <c:h val="0.5119044595232047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Pt>
            <c:idx val="4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1.9030368479554721E-2"/>
                  <c:y val="-7.0356293287409138E-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-1.5159768589135347E-3"/>
                  <c:y val="0.11992148071162709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7.9814768123565194E-2"/>
                  <c:y val="2.5466622047251228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0.11796167195822105"/>
                  <c:y val="-2.0935100503741411E-2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-2.3910559485571494E-2"/>
                  <c:y val="-6.6903729983612339E-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0.2046004735343539"/>
                  <c:y val="-7.7120359955005713E-2"/>
                </c:manualLayout>
              </c:layout>
              <c:showVal val="1"/>
              <c:showCatName val="1"/>
            </c:dLbl>
            <c:dLbl>
              <c:idx val="6"/>
              <c:layout>
                <c:manualLayout>
                  <c:x val="0.17918051379600783"/>
                  <c:y val="-0.11858380514737545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Sheet1!$A$2:$A$9</c:f>
              <c:strCache>
                <c:ptCount val="7"/>
                <c:pt idx="0">
                  <c:v>Plaće i naknade troškova zaposlenih</c:v>
                </c:pt>
                <c:pt idx="1">
                  <c:v>Doprinosi poslodavca i ostali doprinosi</c:v>
                </c:pt>
                <c:pt idx="2">
                  <c:v>Izdaci za materijal, sitan inventar i usluge</c:v>
                </c:pt>
                <c:pt idx="3">
                  <c:v>Tekući grantovi i drugi tekući rashodi</c:v>
                </c:pt>
                <c:pt idx="4">
                  <c:v>Tekuće pričuve</c:v>
                </c:pt>
                <c:pt idx="5">
                  <c:v>Izdaci za kamate</c:v>
                </c:pt>
                <c:pt idx="6">
                  <c:v>Kapitalni grantovi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7"/>
                <c:pt idx="0">
                  <c:v>0.56950000000000001</c:v>
                </c:pt>
                <c:pt idx="1">
                  <c:v>5.6500000000000002E-2</c:v>
                </c:pt>
                <c:pt idx="2">
                  <c:v>8.8900000000000048E-2</c:v>
                </c:pt>
                <c:pt idx="3">
                  <c:v>0.27029999999999998</c:v>
                </c:pt>
                <c:pt idx="4">
                  <c:v>1.3299999999999998E-2</c:v>
                </c:pt>
                <c:pt idx="5">
                  <c:v>1.2999999999999993E-3</c:v>
                </c:pt>
                <c:pt idx="6">
                  <c:v>2.0000000000000015E-4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1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9163896179645243"/>
          <c:y val="0.15590256458117868"/>
          <c:w val="0.46528579760863231"/>
          <c:h val="0.7033145856767903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pattFill prst="solidDmnd">
                <a:fgClr>
                  <a:schemeClr val="tx1">
                    <a:lumMod val="65000"/>
                    <a:lumOff val="35000"/>
                  </a:schemeClr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pct4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solidFill>
                <a:schemeClr val="bg1">
                  <a:lumMod val="95000"/>
                </a:schemeClr>
              </a:solidFill>
            </c:spPr>
          </c:dPt>
          <c:dPt>
            <c:idx val="3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5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Pt>
            <c:idx val="6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8"/>
            <c:spPr>
              <a:pattFill prst="dash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3.8572743511227851E-2"/>
                  <c:y val="-2.8805439740674611E-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2.2843189988492482E-2"/>
                  <c:y val="-8.4494343308886444E-2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2.3754590951817138E-2"/>
                  <c:y val="-2.6474751300811391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2.7970800524935283E-2"/>
                  <c:y val="1.7961614173228346E-2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-2.9966993382057581E-2"/>
                  <c:y val="5.6216341869745494E-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-4.5535505978419363E-2"/>
                  <c:y val="3.9614587671939795E-2"/>
                </c:manualLayout>
              </c:layout>
              <c:showVal val="1"/>
              <c:showCatName val="1"/>
            </c:dLbl>
            <c:dLbl>
              <c:idx val="6"/>
              <c:layout>
                <c:manualLayout>
                  <c:x val="-4.1224117818605965E-2"/>
                  <c:y val="1.0944421305210514E-2"/>
                </c:manualLayout>
              </c:layout>
              <c:showVal val="1"/>
              <c:showCatName val="1"/>
            </c:dLbl>
            <c:dLbl>
              <c:idx val="7"/>
              <c:layout>
                <c:manualLayout>
                  <c:x val="-7.6187846310877785E-2"/>
                  <c:y val="-3.4413057742782152E-2"/>
                </c:manualLayout>
              </c:layout>
              <c:showVal val="1"/>
              <c:showCatName val="1"/>
            </c:dLbl>
            <c:dLbl>
              <c:idx val="8"/>
              <c:layout>
                <c:manualLayout>
                  <c:x val="-1.6098534558180229E-2"/>
                  <c:y val="3.5340708025378845E-3"/>
                </c:manualLayout>
              </c:layout>
              <c:showVal val="1"/>
              <c:showCatName val="1"/>
            </c:dLbl>
            <c:dLbl>
              <c:idx val="13"/>
              <c:layout>
                <c:manualLayout>
                  <c:x val="5.6576534703995332E-2"/>
                  <c:y val="-3.8296640931413869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Sheet1!$A$2:$A$10</c:f>
              <c:strCache>
                <c:ptCount val="9"/>
                <c:pt idx="0">
                  <c:v>Izdaci za energiju</c:v>
                </c:pt>
                <c:pt idx="1">
                  <c:v>Putni troškovi</c:v>
                </c:pt>
                <c:pt idx="2">
                  <c:v>Izdaci za komunikaciju i komunalne usluge</c:v>
                </c:pt>
                <c:pt idx="3">
                  <c:v>Nabavka materijala i sitnog inventara</c:v>
                </c:pt>
                <c:pt idx="4">
                  <c:v>Izdaci za usluge prijevoza i goriva</c:v>
                </c:pt>
                <c:pt idx="5">
                  <c:v>Izdaci za tekuće održavanje</c:v>
                </c:pt>
                <c:pt idx="6">
                  <c:v>Tekuće održavanje cesta</c:v>
                </c:pt>
                <c:pt idx="7">
                  <c:v>Ugovorene i druge posebne usluge-SVE</c:v>
                </c:pt>
                <c:pt idx="8">
                  <c:v>Svi ostali izdaci za materijal, sit.inventar i usluge</c:v>
                </c:pt>
              </c:strCache>
            </c:strRef>
          </c:cat>
          <c:val>
            <c:numRef>
              <c:f>Sheet1!$B$2:$B$10</c:f>
              <c:numCache>
                <c:formatCode>0.00%</c:formatCode>
                <c:ptCount val="9"/>
                <c:pt idx="0">
                  <c:v>0.14940000000000009</c:v>
                </c:pt>
                <c:pt idx="1">
                  <c:v>1.3899999999999999E-2</c:v>
                </c:pt>
                <c:pt idx="2">
                  <c:v>0.10500000000000002</c:v>
                </c:pt>
                <c:pt idx="3">
                  <c:v>0.13919999999999999</c:v>
                </c:pt>
                <c:pt idx="4">
                  <c:v>5.3000000000000012E-2</c:v>
                </c:pt>
                <c:pt idx="5">
                  <c:v>8.280000000000004E-2</c:v>
                </c:pt>
                <c:pt idx="6">
                  <c:v>5.0700000000000023E-2</c:v>
                </c:pt>
                <c:pt idx="7">
                  <c:v>0.38500000000000018</c:v>
                </c:pt>
                <c:pt idx="8">
                  <c:v>2.0999999999999977E-2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846945173519978"/>
          <c:y val="0.20446186846829997"/>
          <c:w val="0.43056357538642054"/>
          <c:h val="0.6504300423985638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3"/>
            <c:spPr>
              <a:pattFill prst="wdDnDiag">
                <a:fgClr>
                  <a:schemeClr val="tx1">
                    <a:lumMod val="65000"/>
                    <a:lumOff val="35000"/>
                  </a:schemeClr>
                </a:fgClr>
                <a:bgClr>
                  <a:schemeClr val="bg1"/>
                </a:bgClr>
              </a:pattFill>
            </c:spPr>
          </c:dPt>
          <c:dPt>
            <c:idx val="4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Pt>
            <c:idx val="5"/>
            <c:spPr>
              <a:solidFill>
                <a:schemeClr val="bg1">
                  <a:lumMod val="85000"/>
                </a:schemeClr>
              </a:solidFill>
            </c:spPr>
          </c:dPt>
          <c:dPt>
            <c:idx val="6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7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0.11033191163604535"/>
                  <c:y val="-1.1163265468729665E-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0.18005358705161864"/>
                  <c:y val="-2.3452197462181992E-2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0.14746190580344207"/>
                  <c:y val="2.2428341122550408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  <a:latin typeface="+mn-lt"/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3"/>
              <c:layout>
                <c:manualLayout>
                  <c:x val="-6.0303659959172175E-2"/>
                  <c:y val="-5.7547985796151217E-2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8.648111694371409E-2"/>
                  <c:y val="-7.5642311604679019E-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-2.8324948964712746E-2"/>
                  <c:y val="-5.0596120766356292E-2"/>
                </c:manualLayout>
              </c:layout>
              <c:showVal val="1"/>
              <c:showCatName val="1"/>
            </c:dLbl>
            <c:dLbl>
              <c:idx val="6"/>
              <c:layout>
                <c:manualLayout>
                  <c:x val="-0.11924777631962671"/>
                  <c:y val="-3.2445578029539686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+mn-lt"/>
                      <a:cs typeface="Calibri" pitchFamily="34" charset="0"/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7"/>
              <c:layout>
                <c:manualLayout>
                  <c:x val="-6.9243401866434004E-2"/>
                  <c:y val="-0.10961371445164747"/>
                </c:manualLayout>
              </c:layout>
              <c:showVal val="1"/>
              <c:showCatName val="1"/>
            </c:dLbl>
            <c:dLbl>
              <c:idx val="8"/>
              <c:layout>
                <c:manualLayout>
                  <c:x val="-5.0115923009623933E-2"/>
                  <c:y val="-0.22690391685914693"/>
                </c:manualLayout>
              </c:layout>
              <c:showVal val="1"/>
              <c:showCatName val="1"/>
            </c:dLbl>
            <c:dLbl>
              <c:idx val="9"/>
              <c:layout>
                <c:manualLayout>
                  <c:x val="-2.3862459900845727E-2"/>
                  <c:y val="-0.37305730673992282"/>
                </c:manualLayout>
              </c:layout>
              <c:showVal val="1"/>
              <c:showCatName val="1"/>
            </c:dLbl>
            <c:dLbl>
              <c:idx val="10"/>
              <c:layout>
                <c:manualLayout>
                  <c:x val="0.12245133420822402"/>
                  <c:y val="-0.10827690245610642"/>
                </c:manualLayout>
              </c:layout>
              <c:showVal val="1"/>
              <c:showCatName val="1"/>
            </c:dLbl>
            <c:dLbl>
              <c:idx val="11"/>
              <c:layout>
                <c:manualLayout>
                  <c:x val="-0.10448235637212015"/>
                  <c:y val="-0.27319612271402927"/>
                </c:manualLayout>
              </c:layout>
              <c:showVal val="1"/>
              <c:showCatName val="1"/>
            </c:dLbl>
            <c:dLbl>
              <c:idx val="12"/>
              <c:layout>
                <c:manualLayout>
                  <c:x val="5.0596201516477132E-2"/>
                  <c:y val="-0.23434624138929808"/>
                </c:manualLayout>
              </c:layout>
              <c:showVal val="1"/>
              <c:showCatName val="1"/>
            </c:dLbl>
            <c:dLbl>
              <c:idx val="13"/>
              <c:layout>
                <c:manualLayout>
                  <c:x val="0.16074329250510863"/>
                  <c:y val="-0.15073042168008091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>
                    <a:latin typeface="+mn-lt"/>
                  </a:defRPr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Sheet1!$A$2:$A$6</c:f>
              <c:strCache>
                <c:ptCount val="5"/>
                <c:pt idx="0">
                  <c:v>Tekući grantovi drugim razinama vlasti i fondovima</c:v>
                </c:pt>
                <c:pt idx="1">
                  <c:v>Tekući grantovi pojedincima</c:v>
                </c:pt>
                <c:pt idx="2">
                  <c:v>Tekući grantovi neprofitnim organizacijama</c:v>
                </c:pt>
                <c:pt idx="3">
                  <c:v>Subvencije privatnim poduzećima i poduzetnicima</c:v>
                </c:pt>
                <c:pt idx="4">
                  <c:v>Drugi tekući rashodi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0.14860662864553389</c:v>
                </c:pt>
                <c:pt idx="1">
                  <c:v>0.42141031344798108</c:v>
                </c:pt>
                <c:pt idx="2">
                  <c:v>9.6686898667534479E-2</c:v>
                </c:pt>
                <c:pt idx="3">
                  <c:v>0.31612770204219881</c:v>
                </c:pt>
                <c:pt idx="4">
                  <c:v>1.7168457196751995E-2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Proračunski prihodi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627688241567403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r-Latn-CS"/>
                </a:p>
              </c:txPr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#,##0</c:formatCode>
                <c:ptCount val="1"/>
                <c:pt idx="0">
                  <c:v>35912664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Proračunski rashodi</c:v>
                </c:pt>
              </c:strCache>
            </c:strRef>
          </c:tx>
          <c:dLbls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#,##0</c:formatCode>
                <c:ptCount val="1"/>
                <c:pt idx="0">
                  <c:v>-27868531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Tekući suficit/deficit</c:v>
                </c:pt>
              </c:strCache>
            </c:strRef>
          </c:tx>
          <c:spPr>
            <a:pattFill prst="wdDnDiag">
              <a:fgClr>
                <a:schemeClr val="bg1"/>
              </a:fgClr>
              <a:bgClr>
                <a:schemeClr val="tx1"/>
              </a:bgClr>
            </a:pattFill>
          </c:spPr>
          <c:dLbls>
            <c:dLbl>
              <c:idx val="0"/>
              <c:layout>
                <c:manualLayout>
                  <c:x val="5.0925925925925923E-2"/>
                  <c:y val="9.4866065175979678E-3"/>
                </c:manualLayout>
              </c:layout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#,##0</c:formatCode>
                <c:ptCount val="1"/>
                <c:pt idx="0">
                  <c:v>8044133</c:v>
                </c:pt>
              </c:numCache>
            </c:numRef>
          </c:val>
        </c:ser>
        <c:axId val="107022592"/>
        <c:axId val="107036672"/>
      </c:barChart>
      <c:catAx>
        <c:axId val="107022592"/>
        <c:scaling>
          <c:orientation val="minMax"/>
        </c:scaling>
        <c:delete val="1"/>
        <c:axPos val="b"/>
        <c:tickLblPos val="none"/>
        <c:crossAx val="107036672"/>
        <c:crosses val="autoZero"/>
        <c:auto val="1"/>
        <c:lblAlgn val="ctr"/>
        <c:lblOffset val="100"/>
      </c:catAx>
      <c:valAx>
        <c:axId val="107036672"/>
        <c:scaling>
          <c:orientation val="minMax"/>
        </c:scaling>
        <c:axPos val="l"/>
        <c:majorGridlines/>
        <c:numFmt formatCode="#,##0" sourceLinked="1"/>
        <c:tickLblPos val="nextTo"/>
        <c:crossAx val="1070225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30"/>
      <c:rotY val="80"/>
      <c:perspective val="30"/>
    </c:view3D>
    <c:plotArea>
      <c:layout>
        <c:manualLayout>
          <c:layoutTarget val="inner"/>
          <c:xMode val="edge"/>
          <c:yMode val="edge"/>
          <c:x val="0.23145377661125688"/>
          <c:y val="0.11448496862799958"/>
          <c:w val="0.52084135316420543"/>
          <c:h val="0.7782404755557249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solidFill>
                <a:schemeClr val="tx1">
                  <a:lumMod val="75000"/>
                  <a:lumOff val="25000"/>
                </a:schemeClr>
              </a:solidFill>
            </c:spPr>
          </c:dPt>
          <c:dPt>
            <c:idx val="1"/>
            <c:spPr>
              <a:pattFill prst="wdDnDiag">
                <a:fgClr>
                  <a:schemeClr val="tx1">
                    <a:lumMod val="75000"/>
                    <a:lumOff val="25000"/>
                  </a:schemeClr>
                </a:fgClr>
                <a:bgClr>
                  <a:schemeClr val="bg1"/>
                </a:bgClr>
              </a:pattFill>
            </c:spPr>
          </c:dPt>
          <c:dPt>
            <c:idx val="2"/>
            <c:spPr>
              <a:solidFill>
                <a:schemeClr val="bg1">
                  <a:lumMod val="65000"/>
                </a:schemeClr>
              </a:solidFill>
            </c:spPr>
          </c:dPt>
          <c:dLbls>
            <c:dLbl>
              <c:idx val="0"/>
              <c:layout>
                <c:manualLayout>
                  <c:x val="3.6076913840449892E-2"/>
                  <c:y val="0.11590851150177445"/>
                </c:manualLayout>
              </c:layout>
              <c:spPr/>
              <c:txPr>
                <a:bodyPr/>
                <a:lstStyle/>
                <a:p>
                  <a:pPr>
                    <a:defRPr sz="700">
                      <a:solidFill>
                        <a:sysClr val="windowText" lastClr="000000"/>
                      </a:solidFill>
                      <a:latin typeface="+mn-lt"/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1"/>
              <c:layout>
                <c:manualLayout>
                  <c:x val="-3.997961668035005E-2"/>
                  <c:y val="-1.9295674125616301E-2"/>
                </c:manualLayout>
              </c:layout>
              <c:spPr/>
              <c:txPr>
                <a:bodyPr/>
                <a:lstStyle/>
                <a:p>
                  <a:pPr>
                    <a:defRPr sz="700">
                      <a:solidFill>
                        <a:sysClr val="windowText" lastClr="000000"/>
                      </a:solidFill>
                      <a:latin typeface="Calibri" pitchFamily="34" charset="0"/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2"/>
              <c:layout>
                <c:manualLayout>
                  <c:x val="-0.13266495308810219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700">
                      <a:solidFill>
                        <a:sysClr val="windowText" lastClr="000000"/>
                      </a:solidFill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3"/>
              <c:layout>
                <c:manualLayout>
                  <c:x val="4.7764717137510314E-2"/>
                  <c:y val="-3.5106164844064203E-2"/>
                </c:manualLayout>
              </c:layout>
              <c:tx>
                <c:rich>
                  <a:bodyPr/>
                  <a:lstStyle/>
                  <a:p>
                    <a:r>
                      <a:rPr lang="en-US" sz="700"/>
                      <a:t>Rekonstrukcija i investicijsko održavanje reg.cesta; 8,48%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-8.9560549722954574E-3"/>
                  <c:y val="8.1358732171044668E-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-3.8688393117527662E-3"/>
                  <c:y val="-7.6819325874925792E-2"/>
                </c:manualLayout>
              </c:layout>
              <c:showVal val="1"/>
              <c:showCatName val="1"/>
            </c:dLbl>
            <c:dLbl>
              <c:idx val="7"/>
              <c:layout>
                <c:manualLayout>
                  <c:x val="3.2608358850977091E-2"/>
                  <c:y val="5.7686112328572126E-2"/>
                </c:manualLayout>
              </c:layout>
              <c:showVal val="1"/>
              <c:showCatName val="1"/>
            </c:dLbl>
            <c:dLbl>
              <c:idx val="8"/>
              <c:layout>
                <c:manualLayout>
                  <c:x val="-1.6098534558180229E-2"/>
                  <c:y val="3.5340708025378836E-3"/>
                </c:manualLayout>
              </c:layout>
              <c:showVal val="1"/>
              <c:showCatName val="1"/>
            </c:dLbl>
            <c:dLbl>
              <c:idx val="13"/>
              <c:layout>
                <c:manualLayout>
                  <c:x val="5.6576534703995332E-2"/>
                  <c:y val="-3.8296640931413869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Sheet1!$A$2:$A$5</c:f>
              <c:strCache>
                <c:ptCount val="4"/>
                <c:pt idx="0">
                  <c:v>Nabavka opreme</c:v>
                </c:pt>
                <c:pt idx="1">
                  <c:v>Nabavka građevina</c:v>
                </c:pt>
                <c:pt idx="2">
                  <c:v>Rekonstrukcija i investicijsko održavanje lok.cesta</c:v>
                </c:pt>
                <c:pt idx="3">
                  <c:v>Rekonstrukcija i investicijsko održavanje reg.cesta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0.23430000000000001</c:v>
                </c:pt>
                <c:pt idx="1">
                  <c:v>0.31620000000000004</c:v>
                </c:pt>
                <c:pt idx="2">
                  <c:v>0.36470000000000002</c:v>
                </c:pt>
                <c:pt idx="3">
                  <c:v>8.4800000000000014E-2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Primici od prodaje nefin.imovine</c:v>
                </c:pt>
              </c:strCache>
            </c:strRef>
          </c:tx>
          <c:dLbls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#,##0</c:formatCode>
                <c:ptCount val="1"/>
                <c:pt idx="0">
                  <c:v>6113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Izdaci za nabavku nefin.imovine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7137097227613488E-2"/>
                </c:manualLayout>
              </c:layout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#,##0</c:formatCode>
                <c:ptCount val="1"/>
                <c:pt idx="0">
                  <c:v>-906893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Neto nabavka nefin.imovine</c:v>
                </c:pt>
              </c:strCache>
            </c:strRef>
          </c:tx>
          <c:spPr>
            <a:pattFill prst="wdDnDiag">
              <a:fgClr>
                <a:schemeClr val="bg1"/>
              </a:fgClr>
              <a:bgClr>
                <a:schemeClr val="tx1"/>
              </a:bgClr>
            </a:pattFill>
          </c:spPr>
          <c:dLbls>
            <c:dLbl>
              <c:idx val="0"/>
              <c:layout>
                <c:manualLayout>
                  <c:x val="0.17655402999248221"/>
                  <c:y val="9.486846814603214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Neto nabavka nefin.imovine; </a:t>
                    </a:r>
                    <a:r>
                      <a:rPr lang="hr-HR"/>
                      <a:t>     </a:t>
                    </a:r>
                    <a:r>
                      <a:rPr lang="en-US"/>
                      <a:t>-</a:t>
                    </a:r>
                    <a:r>
                      <a:rPr lang="hr-HR"/>
                      <a:t>900.780</a:t>
                    </a:r>
                    <a:endParaRPr lang="en-US"/>
                  </a:p>
                </c:rich>
              </c:tx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#,##0</c:formatCode>
                <c:ptCount val="1"/>
                <c:pt idx="0">
                  <c:v>-900780</c:v>
                </c:pt>
              </c:numCache>
            </c:numRef>
          </c:val>
        </c:ser>
        <c:axId val="109412736"/>
        <c:axId val="109414272"/>
      </c:barChart>
      <c:catAx>
        <c:axId val="109412736"/>
        <c:scaling>
          <c:orientation val="minMax"/>
        </c:scaling>
        <c:delete val="1"/>
        <c:axPos val="b"/>
        <c:tickLblPos val="none"/>
        <c:crossAx val="109414272"/>
        <c:crosses val="autoZero"/>
        <c:auto val="1"/>
        <c:lblAlgn val="ctr"/>
        <c:lblOffset val="100"/>
      </c:catAx>
      <c:valAx>
        <c:axId val="109414272"/>
        <c:scaling>
          <c:orientation val="minMax"/>
        </c:scaling>
        <c:axPos val="l"/>
        <c:majorGridlines/>
        <c:numFmt formatCode="#,##0" sourceLinked="1"/>
        <c:tickLblPos val="nextTo"/>
        <c:crossAx val="1094127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Tekući suficit/deficit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7990592138436377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r-Latn-CS"/>
                </a:p>
              </c:txPr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#,##0</c:formatCode>
                <c:ptCount val="1"/>
                <c:pt idx="0">
                  <c:v>8044133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Neto nabavka nefin.imovine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4.56989259403028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Neto nabavka nefin.imovine; </a:t>
                    </a:r>
                    <a:r>
                      <a:rPr lang="hr-HR"/>
                      <a:t>     </a:t>
                    </a:r>
                    <a:r>
                      <a:rPr lang="en-US"/>
                      <a:t>-</a:t>
                    </a:r>
                    <a:r>
                      <a:rPr lang="hr-HR"/>
                      <a:t>900.780</a:t>
                    </a:r>
                    <a:endParaRPr lang="en-US"/>
                  </a:p>
                </c:rich>
              </c:tx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#,##0</c:formatCode>
                <c:ptCount val="1"/>
                <c:pt idx="0">
                  <c:v>-900780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Ukupan suficit/deficit</c:v>
                </c:pt>
              </c:strCache>
            </c:strRef>
          </c:tx>
          <c:spPr>
            <a:pattFill prst="wdDnDiag">
              <a:fgClr>
                <a:schemeClr val="bg1"/>
              </a:fgClr>
              <a:bgClr>
                <a:schemeClr val="tx1"/>
              </a:bgClr>
            </a:pattFill>
          </c:spPr>
          <c:dLbls>
            <c:dLbl>
              <c:idx val="0"/>
              <c:layout>
                <c:manualLayout>
                  <c:x val="0.14854838514625851"/>
                  <c:y val="0"/>
                </c:manualLayout>
              </c:layout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#,##0</c:formatCode>
                <c:ptCount val="1"/>
                <c:pt idx="0">
                  <c:v>7143353</c:v>
                </c:pt>
              </c:numCache>
            </c:numRef>
          </c:val>
        </c:ser>
        <c:axId val="109384832"/>
        <c:axId val="109386368"/>
      </c:barChart>
      <c:catAx>
        <c:axId val="109384832"/>
        <c:scaling>
          <c:orientation val="minMax"/>
        </c:scaling>
        <c:delete val="1"/>
        <c:axPos val="b"/>
        <c:tickLblPos val="none"/>
        <c:crossAx val="109386368"/>
        <c:crosses val="autoZero"/>
        <c:auto val="1"/>
        <c:lblAlgn val="ctr"/>
        <c:lblOffset val="100"/>
      </c:catAx>
      <c:valAx>
        <c:axId val="109386368"/>
        <c:scaling>
          <c:orientation val="minMax"/>
        </c:scaling>
        <c:axPos val="l"/>
        <c:majorGridlines/>
        <c:numFmt formatCode="#,##0" sourceLinked="1"/>
        <c:tickLblPos val="nextTo"/>
        <c:crossAx val="1093848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Primici od fin.imovine i zaduživanja</c:v>
                </c:pt>
              </c:strCache>
            </c:strRef>
          </c:tx>
          <c:dLbls>
            <c:dLbl>
              <c:idx val="0"/>
              <c:layout>
                <c:manualLayout>
                  <c:x val="-1.5106635599599615E-2"/>
                  <c:y val="-5.7123657425377904E-3"/>
                </c:manualLayout>
              </c:layout>
              <c:showVal val="1"/>
              <c:showSerName val="1"/>
            </c:dLbl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sr-Latn-CS"/>
              </a:p>
            </c:txPr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#,##0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Izdaci za nabavku fin.imovine i otplatu dugova</c:v>
                </c:pt>
              </c:strCache>
            </c:strRef>
          </c:tx>
          <c:dLbls>
            <c:dLbl>
              <c:idx val="0"/>
              <c:layout>
                <c:manualLayout>
                  <c:x val="-2.5177725999332677E-3"/>
                  <c:y val="0.17137097227613485"/>
                </c:manualLayout>
              </c:layout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#,##0</c:formatCode>
                <c:ptCount val="1"/>
                <c:pt idx="0">
                  <c:v>-514992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Neto financiranje</c:v>
                </c:pt>
              </c:strCache>
            </c:strRef>
          </c:tx>
          <c:spPr>
            <a:pattFill prst="wdDnDiag">
              <a:fgClr>
                <a:schemeClr val="bg1"/>
              </a:fgClr>
              <a:bgClr>
                <a:schemeClr val="tx1"/>
              </a:bgClr>
            </a:pattFill>
          </c:spPr>
          <c:dLbls>
            <c:dLbl>
              <c:idx val="0"/>
              <c:layout>
                <c:manualLayout>
                  <c:x val="0.13911543280753075"/>
                  <c:y val="5.713366017927012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Neto financiranje; </a:t>
                    </a:r>
                    <a:r>
                      <a:rPr lang="hr-HR"/>
                      <a:t>      </a:t>
                    </a:r>
                    <a:r>
                      <a:rPr lang="en-US"/>
                      <a:t>-</a:t>
                    </a:r>
                    <a:r>
                      <a:rPr lang="hr-HR"/>
                      <a:t>514.992</a:t>
                    </a:r>
                    <a:endParaRPr lang="en-US"/>
                  </a:p>
                </c:rich>
              </c:tx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#,##0</c:formatCode>
                <c:ptCount val="1"/>
                <c:pt idx="0">
                  <c:v>-514992</c:v>
                </c:pt>
              </c:numCache>
            </c:numRef>
          </c:val>
        </c:ser>
        <c:axId val="111006080"/>
        <c:axId val="111007616"/>
      </c:barChart>
      <c:catAx>
        <c:axId val="111006080"/>
        <c:scaling>
          <c:orientation val="minMax"/>
        </c:scaling>
        <c:delete val="1"/>
        <c:axPos val="b"/>
        <c:tickLblPos val="none"/>
        <c:crossAx val="111007616"/>
        <c:crosses val="autoZero"/>
        <c:auto val="1"/>
        <c:lblAlgn val="ctr"/>
        <c:lblOffset val="100"/>
      </c:catAx>
      <c:valAx>
        <c:axId val="111007616"/>
        <c:scaling>
          <c:orientation val="minMax"/>
        </c:scaling>
        <c:axPos val="l"/>
        <c:majorGridlines/>
        <c:numFmt formatCode="#,##0" sourceLinked="1"/>
        <c:tickLblPos val="nextTo"/>
        <c:crossAx val="1110060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2591155374257801"/>
          <c:y val="0.10006739498319349"/>
          <c:w val="0.62193140325485441"/>
          <c:h val="0.8267040472905975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Pt>
            <c:idx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ltVer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solidFill>
                <a:schemeClr val="tx1"/>
              </a:solidFill>
            </c:spPr>
          </c:dPt>
          <c:dLbls>
            <c:dLbl>
              <c:idx val="0"/>
              <c:layout>
                <c:manualLayout>
                  <c:x val="-0.24026586490206217"/>
                  <c:y val="-0.17736645649901442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solidFill>
                        <a:schemeClr val="bg1"/>
                      </a:solidFill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1"/>
              <c:layout>
                <c:manualLayout>
                  <c:x val="-0.11575510351547302"/>
                  <c:y val="1.6463132774069345E-2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3.8102635955439293E-2"/>
                  <c:y val="-3.8994676935895908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0.12403679295663682"/>
                  <c:y val="-3.4088652383378951E-2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0.27648617554445643"/>
                  <c:y val="1.2073865436928163E-2"/>
                </c:manualLayout>
              </c:layout>
              <c:spPr/>
              <c:txPr>
                <a:bodyPr/>
                <a:lstStyle/>
                <a:p>
                  <a:pPr>
                    <a:defRPr sz="800"/>
                  </a:pPr>
                  <a:endParaRPr lang="sr-Latn-CS"/>
                </a:p>
              </c:txPr>
              <c:showVal val="1"/>
              <c:showCatName val="1"/>
            </c:dLbl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Sheet1!$A$2:$A$6</c:f>
              <c:strCache>
                <c:ptCount val="5"/>
                <c:pt idx="0">
                  <c:v>Porezni prihodi</c:v>
                </c:pt>
                <c:pt idx="1">
                  <c:v>Neporezni prihodi</c:v>
                </c:pt>
                <c:pt idx="2">
                  <c:v>Tekući grantovi</c:v>
                </c:pt>
                <c:pt idx="3">
                  <c:v>Kapitalni grantovi</c:v>
                </c:pt>
                <c:pt idx="4">
                  <c:v>Prihodi od zaost.obv.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0.70100000000000062</c:v>
                </c:pt>
                <c:pt idx="1">
                  <c:v>5.4500000000000014E-2</c:v>
                </c:pt>
                <c:pt idx="2">
                  <c:v>0.23419999999999999</c:v>
                </c:pt>
                <c:pt idx="3">
                  <c:v>1.0200000000000001E-2</c:v>
                </c:pt>
                <c:pt idx="4">
                  <c:v>1.0000000000000015E-4</c:v>
                </c:pt>
              </c:numCache>
            </c:numRef>
          </c:val>
        </c:ser>
      </c:pie3DChart>
    </c:plotArea>
    <c:plotVisOnly val="1"/>
    <c:dispBlanksAs val="zero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Ukupan suficit/deficit</c:v>
                </c:pt>
              </c:strCache>
            </c:strRef>
          </c:tx>
          <c:dLbls>
            <c:dLbl>
              <c:idx val="0"/>
              <c:layout>
                <c:manualLayout>
                  <c:x val="-2.5542505651606488E-3"/>
                  <c:y val="0.2727578177323528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sr-Latn-CS"/>
                </a:p>
              </c:txPr>
              <c:showVal val="1"/>
              <c:showSerName val="1"/>
            </c:dLbl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sr-Latn-CS"/>
              </a:p>
            </c:txPr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#,##0</c:formatCode>
                <c:ptCount val="1"/>
                <c:pt idx="0">
                  <c:v>7143353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Neto financiranje</c:v>
                </c:pt>
              </c:strCache>
            </c:strRef>
          </c:tx>
          <c:dLbls>
            <c:dLbl>
              <c:idx val="0"/>
              <c:layout>
                <c:manualLayout>
                  <c:x val="-2.5177966206959366E-3"/>
                  <c:y val="0.192648126431004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Neto financiranje; </a:t>
                    </a:r>
                    <a:r>
                      <a:rPr lang="hr-HR"/>
                      <a:t>     </a:t>
                    </a:r>
                    <a:r>
                      <a:rPr lang="en-US"/>
                      <a:t>-</a:t>
                    </a:r>
                    <a:r>
                      <a:rPr lang="hr-HR"/>
                      <a:t>514.992</a:t>
                    </a:r>
                    <a:endParaRPr lang="en-US"/>
                  </a:p>
                </c:rich>
              </c:tx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#,##0</c:formatCode>
                <c:ptCount val="1"/>
                <c:pt idx="0">
                  <c:v>-514992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Ukupan financijski rezultat</c:v>
                </c:pt>
              </c:strCache>
            </c:strRef>
          </c:tx>
          <c:spPr>
            <a:pattFill prst="wdDnDiag">
              <a:fgClr>
                <a:schemeClr val="bg1"/>
              </a:fgClr>
              <a:bgClr>
                <a:schemeClr val="tx1"/>
              </a:bgClr>
            </a:pattFill>
          </c:spPr>
          <c:dLbls>
            <c:dLbl>
              <c:idx val="0"/>
              <c:layout>
                <c:manualLayout>
                  <c:x val="0.16113745831547341"/>
                  <c:y val="1.0237895794940525E-2"/>
                </c:manualLayout>
              </c:layout>
              <c:showVal val="1"/>
              <c:showSerName val="1"/>
            </c:dLbl>
            <c:showVal val="1"/>
            <c:showSerName val="1"/>
          </c:dLbls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#,##0</c:formatCode>
                <c:ptCount val="1"/>
                <c:pt idx="0">
                  <c:v>6628361</c:v>
                </c:pt>
              </c:numCache>
            </c:numRef>
          </c:val>
        </c:ser>
        <c:axId val="110952448"/>
        <c:axId val="110953984"/>
      </c:barChart>
      <c:catAx>
        <c:axId val="110952448"/>
        <c:scaling>
          <c:orientation val="minMax"/>
        </c:scaling>
        <c:delete val="1"/>
        <c:axPos val="b"/>
        <c:tickLblPos val="none"/>
        <c:crossAx val="110953984"/>
        <c:crosses val="autoZero"/>
        <c:auto val="1"/>
        <c:lblAlgn val="ctr"/>
        <c:lblOffset val="100"/>
      </c:catAx>
      <c:valAx>
        <c:axId val="110953984"/>
        <c:scaling>
          <c:orientation val="minMax"/>
        </c:scaling>
        <c:axPos val="l"/>
        <c:majorGridlines/>
        <c:numFmt formatCode="#,##0" sourceLinked="1"/>
        <c:tickLblPos val="nextTo"/>
        <c:crossAx val="11095244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30"/>
      <c:rotY val="170"/>
      <c:perspective val="30"/>
    </c:view3D>
    <c:plotArea>
      <c:layout>
        <c:manualLayout>
          <c:layoutTarget val="inner"/>
          <c:xMode val="edge"/>
          <c:yMode val="edge"/>
          <c:x val="0.2324365209474884"/>
          <c:y val="4.0756407155592186E-2"/>
          <c:w val="0.56130115636658773"/>
          <c:h val="0.8575571803524438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3"/>
            <c:spPr>
              <a:solidFill>
                <a:schemeClr val="tx1">
                  <a:lumMod val="85000"/>
                  <a:lumOff val="15000"/>
                </a:schemeClr>
              </a:solidFill>
            </c:spPr>
          </c:dPt>
          <c:dLbls>
            <c:dLbl>
              <c:idx val="1"/>
              <c:layout>
                <c:manualLayout>
                  <c:x val="-0.15185813344164437"/>
                  <c:y val="-0.19848307863051237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-0.13545504099233277"/>
                  <c:y val="0.13941987461933544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solidFill>
                        <a:schemeClr val="bg1"/>
                      </a:solidFill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3"/>
              <c:layout>
                <c:manualLayout>
                  <c:x val="4.7092082239722062E-2"/>
                  <c:y val="-4.2886781120489534E-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-0.12577792359288423"/>
                  <c:y val="0.11586451594374456"/>
                </c:manualLayout>
              </c:layout>
              <c:spPr/>
              <c:txPr>
                <a:bodyPr/>
                <a:lstStyle/>
                <a:p>
                  <a:pPr>
                    <a:defRPr sz="900">
                      <a:solidFill>
                        <a:schemeClr val="bg1"/>
                      </a:solidFill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6"/>
              <c:layout>
                <c:manualLayout>
                  <c:x val="-7.1855861767279065E-3"/>
                  <c:y val="3.3032214642746992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9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Sheet1!$A$2:$A$5</c:f>
              <c:strCache>
                <c:ptCount val="4"/>
                <c:pt idx="0">
                  <c:v>Porez na dobit pojedinaca i poduzeća</c:v>
                </c:pt>
                <c:pt idx="1">
                  <c:v>Porez na dohodak</c:v>
                </c:pt>
                <c:pt idx="2">
                  <c:v>Prihodi od neizravnih poreza</c:v>
                </c:pt>
                <c:pt idx="3">
                  <c:v>Svi ostali porezni prihodi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8.6100000000000024E-2</c:v>
                </c:pt>
                <c:pt idx="1">
                  <c:v>8.9200000000000043E-2</c:v>
                </c:pt>
                <c:pt idx="2">
                  <c:v>0.81970000000000065</c:v>
                </c:pt>
                <c:pt idx="3">
                  <c:v>5.0000000000000062E-3</c:v>
                </c:pt>
              </c:numCache>
            </c:numRef>
          </c:val>
        </c:ser>
      </c:pie3DChart>
    </c:plotArea>
    <c:plotVisOnly val="1"/>
    <c:dispBlanksAs val="zero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1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Sheet1!$B$2:$B$10</c:f>
              <c:numCache>
                <c:formatCode>#,##0.00</c:formatCode>
                <c:ptCount val="9"/>
                <c:pt idx="0">
                  <c:v>2403212.6800000002</c:v>
                </c:pt>
                <c:pt idx="1">
                  <c:v>2233435.4299999997</c:v>
                </c:pt>
                <c:pt idx="2">
                  <c:v>2186035.3099999987</c:v>
                </c:pt>
                <c:pt idx="3">
                  <c:v>2667539.2799999998</c:v>
                </c:pt>
                <c:pt idx="4">
                  <c:v>2502923.2400000002</c:v>
                </c:pt>
                <c:pt idx="5">
                  <c:v>2008041.97</c:v>
                </c:pt>
                <c:pt idx="6">
                  <c:v>3237134.34</c:v>
                </c:pt>
                <c:pt idx="7">
                  <c:v>2997510.7800000012</c:v>
                </c:pt>
                <c:pt idx="8">
                  <c:v>2743736.24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Sheet1!$A$2:$A$10</c:f>
              <c:strCache>
                <c:ptCount val="9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</c:strCache>
            </c:strRef>
          </c:cat>
          <c:val>
            <c:numRef>
              <c:f>Sheet1!$C$2:$C$10</c:f>
              <c:numCache>
                <c:formatCode>#,##0.00</c:formatCode>
                <c:ptCount val="9"/>
                <c:pt idx="0">
                  <c:v>2393223.58</c:v>
                </c:pt>
                <c:pt idx="1">
                  <c:v>2368214.77</c:v>
                </c:pt>
                <c:pt idx="2">
                  <c:v>2604387.65</c:v>
                </c:pt>
                <c:pt idx="3">
                  <c:v>1765791.79</c:v>
                </c:pt>
                <c:pt idx="4">
                  <c:v>1404452.23</c:v>
                </c:pt>
                <c:pt idx="5">
                  <c:v>1973721.87</c:v>
                </c:pt>
                <c:pt idx="6">
                  <c:v>2839444.09</c:v>
                </c:pt>
                <c:pt idx="7">
                  <c:v>1962088.84</c:v>
                </c:pt>
                <c:pt idx="8">
                  <c:v>1677187.6400000001</c:v>
                </c:pt>
              </c:numCache>
            </c:numRef>
          </c:val>
        </c:ser>
        <c:dropLines/>
        <c:marker val="1"/>
        <c:axId val="89610880"/>
        <c:axId val="89612672"/>
      </c:lineChart>
      <c:catAx>
        <c:axId val="89610880"/>
        <c:scaling>
          <c:orientation val="minMax"/>
        </c:scaling>
        <c:axPos val="b"/>
        <c:tickLblPos val="nextTo"/>
        <c:crossAx val="89612672"/>
        <c:crosses val="autoZero"/>
        <c:auto val="1"/>
        <c:lblAlgn val="ctr"/>
        <c:lblOffset val="100"/>
      </c:catAx>
      <c:valAx>
        <c:axId val="8961267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sr-Latn-CS"/>
          </a:p>
        </c:txPr>
        <c:crossAx val="896108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22390343305835347"/>
          <c:w val="0.99931167544454291"/>
          <c:h val="0.525808631045233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solidFill>
                <a:schemeClr val="tx1"/>
              </a:solidFill>
            </c:spPr>
          </c:dPt>
          <c:dPt>
            <c:idx val="1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1"/>
              <c:layout>
                <c:manualLayout>
                  <c:x val="9.6345039133147251E-2"/>
                  <c:y val="-6.6444501879608611E-2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2.8039375872718881E-3"/>
                  <c:y val="-9.1446847811040167E-3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Sheet1!$A$2:$A$4</c:f>
              <c:strCache>
                <c:ptCount val="3"/>
                <c:pt idx="0">
                  <c:v>Prihodi od poduzetničkih aktivnosti i imovine i prihodi od pozitivnih tečajnih razlika</c:v>
                </c:pt>
                <c:pt idx="1">
                  <c:v>Naknade i pristojbe i prihodi od pružanja javnih usluga</c:v>
                </c:pt>
                <c:pt idx="2">
                  <c:v>Novčane kazne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2.6900000000000011E-2</c:v>
                </c:pt>
                <c:pt idx="1">
                  <c:v>0.77740000000000054</c:v>
                </c:pt>
                <c:pt idx="2">
                  <c:v>0.19570000000000001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8089824207005424E-2"/>
          <c:y val="0.21453578895858358"/>
          <c:w val="0.84585979996223126"/>
          <c:h val="0.6278965923751251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1.6005693639239409E-2"/>
                  <c:y val="-3.6595550303614076E-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3.8318095238436788E-2"/>
                  <c:y val="-2.231799291981001E-3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2"/>
              <c:layout>
                <c:manualLayout>
                  <c:x val="1.4705758398378345E-3"/>
                  <c:y val="7.7222738037903513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5.5870583587261727E-2"/>
                  <c:y val="-9.3799619675582507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Sheet1!$A$2:$A$7</c:f>
              <c:strCache>
                <c:ptCount val="6"/>
                <c:pt idx="0">
                  <c:v>Administrativne pristojbe</c:v>
                </c:pt>
                <c:pt idx="1">
                  <c:v>Sudske pristojbe</c:v>
                </c:pt>
                <c:pt idx="2">
                  <c:v>Ostale proračunske naknade</c:v>
                </c:pt>
                <c:pt idx="3">
                  <c:v>Naknade i pristojbe po Fed.zakonima i dr.propisima</c:v>
                </c:pt>
                <c:pt idx="4">
                  <c:v>Prihodi od pružanja javnih usluga</c:v>
                </c:pt>
                <c:pt idx="5">
                  <c:v>Neplanirane uplate - prihodi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4.6100000000000002E-2</c:v>
                </c:pt>
                <c:pt idx="1">
                  <c:v>0.18610000000000004</c:v>
                </c:pt>
                <c:pt idx="2">
                  <c:v>9.4100000000000045E-2</c:v>
                </c:pt>
                <c:pt idx="3">
                  <c:v>0.48900000000000032</c:v>
                </c:pt>
                <c:pt idx="4">
                  <c:v>0.15490000000000023</c:v>
                </c:pt>
                <c:pt idx="5">
                  <c:v>2.9800000000000011E-2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autoTitleDeleted val="1"/>
    <c:view3D>
      <c:rotX val="30"/>
      <c:rotY val="30"/>
      <c:perspective val="30"/>
    </c:view3D>
    <c:plotArea>
      <c:layout>
        <c:manualLayout>
          <c:layoutTarget val="inner"/>
          <c:xMode val="edge"/>
          <c:yMode val="edge"/>
          <c:x val="8.8089824207005424E-2"/>
          <c:y val="0.21453578895858358"/>
          <c:w val="0.84585979996223126"/>
          <c:h val="0.6278965923751251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2.3927491631573265E-2"/>
                  <c:y val="-0.28190814081408438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7.5221358384623691E-3"/>
                  <c:y val="9.7799779977997783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2"/>
              <c:layout>
                <c:manualLayout>
                  <c:x val="-6.3268545513443464E-2"/>
                  <c:y val="-4.1914191419141933E-2"/>
                </c:manualLayout>
              </c:layout>
              <c:spPr/>
              <c:txPr>
                <a:bodyPr/>
                <a:lstStyle/>
                <a:p>
                  <a:pPr>
                    <a:defRPr sz="700"/>
                  </a:pPr>
                  <a:endParaRPr lang="sr-Latn-CS"/>
                </a:p>
              </c:txPr>
              <c:showVal val="1"/>
              <c:showCatName val="1"/>
            </c:dLbl>
            <c:dLbl>
              <c:idx val="3"/>
              <c:layout>
                <c:manualLayout>
                  <c:x val="-5.5870583587261727E-2"/>
                  <c:y val="-9.3799619675582507E-2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Sheet1!$A$2:$A$4</c:f>
              <c:strCache>
                <c:ptCount val="3"/>
                <c:pt idx="0">
                  <c:v>Županijske naknade</c:v>
                </c:pt>
                <c:pt idx="1">
                  <c:v>Naknade za korištenje šuma</c:v>
                </c:pt>
                <c:pt idx="2">
                  <c:v>Nakn.za korištenje, zaštitu i unapređenje šuma utvrđene žup.propisima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0.28720000000000001</c:v>
                </c:pt>
                <c:pt idx="1">
                  <c:v>7.1000000000000004E-3</c:v>
                </c:pt>
                <c:pt idx="2">
                  <c:v>0.70570000000000033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30"/>
      <c:rotY val="130"/>
      <c:perspective val="30"/>
    </c:view3D>
    <c:plotArea>
      <c:layout>
        <c:manualLayout>
          <c:layoutTarget val="inner"/>
          <c:xMode val="edge"/>
          <c:yMode val="edge"/>
          <c:x val="8.8089824207005424E-2"/>
          <c:y val="0.21453578895858358"/>
          <c:w val="0.84585979996223126"/>
          <c:h val="0.6278965923751251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2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4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5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7.8765252132599078E-2"/>
                  <c:y val="1.39537953795380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Nakn</a:t>
                    </a:r>
                    <a:r>
                      <a:rPr lang="hr-HR"/>
                      <a:t>.</a:t>
                    </a:r>
                    <a:r>
                      <a:rPr lang="en-US"/>
                      <a:t>i prist</a:t>
                    </a:r>
                    <a:r>
                      <a:rPr lang="hr-HR"/>
                      <a:t>.</a:t>
                    </a:r>
                    <a:r>
                      <a:rPr lang="en-US"/>
                      <a:t>za vet.i sanit.</a:t>
                    </a:r>
                    <a:r>
                      <a:rPr lang="hr-HR"/>
                      <a:t> </a:t>
                    </a:r>
                    <a:r>
                      <a:rPr lang="en-US"/>
                      <a:t>preglede životinja i biljaka; 0,58%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2872870817064338"/>
                  <c:y val="-4.194079083158901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2"/>
              <c:layout>
                <c:manualLayout>
                  <c:x val="-8.4220054342135212E-2"/>
                  <c:y val="-3.496386872422471E-2"/>
                </c:manualLayout>
              </c:layout>
              <c:showVal val="1"/>
              <c:showCatName val="1"/>
            </c:dLbl>
            <c:dLbl>
              <c:idx val="3"/>
              <c:layout>
                <c:manualLayout>
                  <c:x val="-7.9843969333765322E-2"/>
                  <c:y val="-9.3724422442245298E-2"/>
                </c:manualLayout>
              </c:layout>
              <c:showVal val="1"/>
              <c:showCatName val="1"/>
            </c:dLbl>
            <c:dLbl>
              <c:idx val="4"/>
              <c:layout>
                <c:manualLayout>
                  <c:x val="1.0647068351149978E-2"/>
                  <c:y val="-0.10990979097909792"/>
                </c:manualLayout>
              </c:layout>
              <c:showVal val="1"/>
              <c:showCatName val="1"/>
            </c:dLbl>
            <c:dLbl>
              <c:idx val="5"/>
              <c:layout>
                <c:manualLayout>
                  <c:x val="3.6895583630277506E-2"/>
                  <c:y val="-0.20096204620462046"/>
                </c:manualLayout>
              </c:layout>
              <c:showVal val="1"/>
              <c:showCatName val="1"/>
            </c:dLbl>
            <c:txPr>
              <a:bodyPr/>
              <a:lstStyle/>
              <a:p>
                <a:pPr>
                  <a:defRPr sz="8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Sheet1!$A$2:$A$7</c:f>
              <c:strCache>
                <c:ptCount val="6"/>
                <c:pt idx="0">
                  <c:v>Naknade i pristojbe za vet.i sanit.preglede životinja i biljaka</c:v>
                </c:pt>
                <c:pt idx="1">
                  <c:v>Vodne naknade</c:v>
                </c:pt>
                <c:pt idx="2">
                  <c:v>Cestovne naknade</c:v>
                </c:pt>
                <c:pt idx="3">
                  <c:v>Zaostale obveze-šume</c:v>
                </c:pt>
                <c:pt idx="4">
                  <c:v>Naknade za zaštitu okoliša</c:v>
                </c:pt>
                <c:pt idx="5">
                  <c:v>Pos.naknade za zaštitu od prir.i dr.nesreća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9.900000000000006E-3</c:v>
                </c:pt>
                <c:pt idx="1">
                  <c:v>0.27880000000000016</c:v>
                </c:pt>
                <c:pt idx="2">
                  <c:v>0.35940000000000016</c:v>
                </c:pt>
                <c:pt idx="3">
                  <c:v>2.0000000000000015E-4</c:v>
                </c:pt>
                <c:pt idx="4">
                  <c:v>0.20480000000000001</c:v>
                </c:pt>
                <c:pt idx="5">
                  <c:v>0.14960000000000001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30"/>
      <c:rotY val="60"/>
      <c:perspective val="0"/>
    </c:view3D>
    <c:plotArea>
      <c:layout>
        <c:manualLayout>
          <c:layoutTarget val="inner"/>
          <c:xMode val="edge"/>
          <c:yMode val="edge"/>
          <c:x val="9.0780902163574068E-2"/>
          <c:y val="3.5503450791231787E-2"/>
          <c:w val="0.90921915523510433"/>
          <c:h val="0.6913088514644090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1"/>
            <c:explosion val="14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explosion val="14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3"/>
            <c:explosion val="19"/>
            <c:spPr>
              <a:solidFill>
                <a:schemeClr val="bg1">
                  <a:lumMod val="65000"/>
                </a:schemeClr>
              </a:solidFill>
            </c:spPr>
          </c:dPt>
          <c:dPt>
            <c:idx val="4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</c:spPr>
          </c:dPt>
          <c:dPt>
            <c:idx val="5"/>
            <c:spPr>
              <a:pattFill prst="lgGrid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2.0944629921259839E-2"/>
                  <c:y val="8.1923968811244044E-2"/>
                </c:manualLayout>
              </c:layout>
              <c:spPr/>
              <c:txPr>
                <a:bodyPr/>
                <a:lstStyle/>
                <a:p>
                  <a:pPr>
                    <a:defRPr sz="600">
                      <a:solidFill>
                        <a:sysClr val="windowText" lastClr="000000"/>
                      </a:solidFill>
                      <a:latin typeface="Calibri" pitchFamily="34" charset="0"/>
                      <a:cs typeface="Calibri" pitchFamily="34" charset="0"/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1"/>
              <c:layout>
                <c:manualLayout>
                  <c:x val="0.20307149606299227"/>
                  <c:y val="-0.22815278058992744"/>
                </c:manualLayout>
              </c:layout>
              <c:spPr/>
              <c:txPr>
                <a:bodyPr/>
                <a:lstStyle/>
                <a:p>
                  <a:pPr>
                    <a:defRPr sz="600">
                      <a:latin typeface="Calibri" pitchFamily="34" charset="0"/>
                      <a:cs typeface="Calibri" pitchFamily="34" charset="0"/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2"/>
              <c:layout>
                <c:manualLayout>
                  <c:x val="-0.11020195275590552"/>
                  <c:y val="0.32954234333355176"/>
                </c:manualLayout>
              </c:layout>
              <c:spPr/>
              <c:txPr>
                <a:bodyPr/>
                <a:lstStyle/>
                <a:p>
                  <a:pPr>
                    <a:defRPr sz="600"/>
                  </a:pPr>
                  <a:endParaRPr lang="sr-Latn-CS"/>
                </a:p>
              </c:txPr>
              <c:showVal val="1"/>
              <c:showCatName val="1"/>
            </c:dLbl>
            <c:dLbl>
              <c:idx val="3"/>
              <c:layout>
                <c:manualLayout>
                  <c:x val="-9.1227968503937745E-2"/>
                  <c:y val="0.20223791932335222"/>
                </c:manualLayout>
              </c:layout>
              <c:spPr/>
              <c:txPr>
                <a:bodyPr/>
                <a:lstStyle/>
                <a:p>
                  <a:pPr>
                    <a:defRPr sz="600">
                      <a:latin typeface="Calibri" pitchFamily="34" charset="0"/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4"/>
              <c:layout>
                <c:manualLayout>
                  <c:x val="4.7143559055118113E-2"/>
                  <c:y val="-2.6263780064002408E-2"/>
                </c:manualLayout>
              </c:layout>
              <c:spPr/>
              <c:txPr>
                <a:bodyPr/>
                <a:lstStyle/>
                <a:p>
                  <a:pPr>
                    <a:defRPr sz="600">
                      <a:latin typeface="Calibri" pitchFamily="34" charset="0"/>
                    </a:defRPr>
                  </a:pPr>
                  <a:endParaRPr lang="sr-Latn-CS"/>
                </a:p>
              </c:txPr>
              <c:showVal val="1"/>
              <c:showCatName val="1"/>
            </c:dLbl>
            <c:dLbl>
              <c:idx val="5"/>
              <c:layout>
                <c:manualLayout>
                  <c:x val="-2.7024181869074716E-2"/>
                  <c:y val="-0.12809262478553818"/>
                </c:manualLayout>
              </c:layout>
              <c:spPr/>
              <c:txPr>
                <a:bodyPr/>
                <a:lstStyle/>
                <a:p>
                  <a:pPr>
                    <a:defRPr sz="600"/>
                  </a:pPr>
                  <a:endParaRPr lang="sr-Latn-CS"/>
                </a:p>
              </c:txPr>
              <c:showVal val="1"/>
              <c:showCatName val="1"/>
            </c:dLbl>
            <c:dLbl>
              <c:idx val="6"/>
              <c:layout>
                <c:manualLayout>
                  <c:x val="-2.7237461816500212E-2"/>
                  <c:y val="-5.8536319323720921E-2"/>
                </c:manualLayout>
              </c:layout>
              <c:spPr/>
              <c:txPr>
                <a:bodyPr/>
                <a:lstStyle/>
                <a:p>
                  <a:pPr>
                    <a:defRPr sz="600"/>
                  </a:pPr>
                  <a:endParaRPr lang="sr-Latn-CS"/>
                </a:p>
              </c:txPr>
              <c:showVal val="1"/>
              <c:showCatName val="1"/>
            </c:dLbl>
            <c:dLbl>
              <c:idx val="7"/>
              <c:layout>
                <c:manualLayout>
                  <c:x val="-5.5318915892854974E-2"/>
                  <c:y val="-2.8198293395143778E-2"/>
                </c:manualLayout>
              </c:layout>
              <c:spPr/>
              <c:txPr>
                <a:bodyPr/>
                <a:lstStyle/>
                <a:p>
                  <a:pPr>
                    <a:defRPr sz="600"/>
                  </a:pPr>
                  <a:endParaRPr lang="sr-Latn-CS"/>
                </a:p>
              </c:txPr>
              <c:showVal val="1"/>
              <c:showCatName val="1"/>
            </c:dLbl>
            <c:dLbl>
              <c:idx val="8"/>
              <c:layout>
                <c:manualLayout>
                  <c:x val="4.5135837927524014E-2"/>
                  <c:y val="-6.3356625876312134E-2"/>
                </c:manualLayout>
              </c:layout>
              <c:spPr/>
              <c:txPr>
                <a:bodyPr/>
                <a:lstStyle/>
                <a:p>
                  <a:pPr>
                    <a:defRPr sz="600"/>
                  </a:pPr>
                  <a:endParaRPr lang="sr-Latn-CS"/>
                </a:p>
              </c:txPr>
              <c:showVal val="1"/>
              <c:showCatName val="1"/>
            </c:dLbl>
            <c:dLbl>
              <c:idx val="9"/>
              <c:layout>
                <c:manualLayout>
                  <c:x val="9.726356655186274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600"/>
                  </a:pPr>
                  <a:endParaRPr lang="sr-Latn-CS"/>
                </a:p>
              </c:txPr>
              <c:showVal val="1"/>
              <c:showCatName val="1"/>
            </c:dLbl>
            <c:txPr>
              <a:bodyPr/>
              <a:lstStyle/>
              <a:p>
                <a:pPr>
                  <a:defRPr sz="700"/>
                </a:pPr>
                <a:endParaRPr lang="sr-Latn-CS"/>
              </a:p>
            </c:txPr>
            <c:showVal val="1"/>
            <c:showCatName val="1"/>
            <c:showLeaderLines val="1"/>
          </c:dLbls>
          <c:cat>
            <c:strRef>
              <c:f>Sheet1!$A$2:$A$3</c:f>
              <c:strCache>
                <c:ptCount val="2"/>
                <c:pt idx="0">
                  <c:v>Primljeni tekući grantovi od inoz.vlada i međ.organizac.</c:v>
                </c:pt>
                <c:pt idx="1">
                  <c:v>Primljeni tekući grantovi od ostalih razina vlasti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2.0000000000000015E-4</c:v>
                </c:pt>
                <c:pt idx="1">
                  <c:v>0.99980000000000002</c:v>
                </c:pt>
              </c:numCache>
            </c:numRef>
          </c:val>
        </c:ser>
      </c:pie3DChart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5381-F530-48B7-86F0-10B2C740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28</Pages>
  <Words>9735</Words>
  <Characters>55491</Characters>
  <Application>Microsoft Office Word</Application>
  <DocSecurity>0</DocSecurity>
  <Lines>462</Lines>
  <Paragraphs>130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Ružica Živković</cp:lastModifiedBy>
  <cp:revision>38</cp:revision>
  <cp:lastPrinted>2015-11-11T13:27:00Z</cp:lastPrinted>
  <dcterms:created xsi:type="dcterms:W3CDTF">2020-04-29T06:53:00Z</dcterms:created>
  <dcterms:modified xsi:type="dcterms:W3CDTF">2020-11-09T10:40:00Z</dcterms:modified>
</cp:coreProperties>
</file>