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D" w:rsidRDefault="001A265D" w:rsidP="00386FBA">
      <w:pPr>
        <w:ind w:firstLine="720"/>
        <w:rPr>
          <w:b/>
          <w:lang w:val="hr-BA"/>
        </w:rPr>
      </w:pPr>
      <w:r>
        <w:rPr>
          <w:b/>
          <w:lang w:val="hr-BA"/>
        </w:rPr>
        <w:t>Bosna i Hercegovina</w:t>
      </w:r>
    </w:p>
    <w:p w:rsidR="001A265D" w:rsidRDefault="001A265D" w:rsidP="00386FBA">
      <w:pPr>
        <w:rPr>
          <w:lang w:val="hr-BA"/>
        </w:rPr>
      </w:pPr>
      <w:r>
        <w:rPr>
          <w:lang w:val="hr-BA"/>
        </w:rPr>
        <w:t xml:space="preserve">   Federacija Bosne i Hercegovine</w:t>
      </w:r>
    </w:p>
    <w:p w:rsidR="001A265D" w:rsidRDefault="001A265D" w:rsidP="00386FBA">
      <w:pPr>
        <w:rPr>
          <w:lang w:val="hr-BA"/>
        </w:rPr>
      </w:pPr>
      <w:r>
        <w:rPr>
          <w:b/>
          <w:lang w:val="hr-BA"/>
        </w:rPr>
        <w:t>Ž U P A N I J A P O S A V S K A</w:t>
      </w:r>
    </w:p>
    <w:p w:rsidR="001A265D" w:rsidRDefault="001A265D" w:rsidP="00386FBA">
      <w:pPr>
        <w:rPr>
          <w:b/>
          <w:lang w:val="hr-BA"/>
        </w:rPr>
      </w:pPr>
      <w:r>
        <w:rPr>
          <w:b/>
          <w:lang w:val="hr-BA"/>
        </w:rPr>
        <w:t xml:space="preserve">          Ministarstvo financija</w:t>
      </w:r>
    </w:p>
    <w:p w:rsidR="001A265D" w:rsidRDefault="001A265D" w:rsidP="00386FBA">
      <w:pPr>
        <w:rPr>
          <w:lang w:val="hr-BA"/>
        </w:rPr>
      </w:pPr>
      <w:r>
        <w:rPr>
          <w:lang w:val="hr-BA"/>
        </w:rPr>
        <w:t xml:space="preserve">                       Orašje</w:t>
      </w:r>
    </w:p>
    <w:p w:rsidR="001A265D" w:rsidRDefault="001A265D" w:rsidP="00386FBA">
      <w:pPr>
        <w:rPr>
          <w:lang w:val="hr-BA"/>
        </w:rPr>
      </w:pPr>
    </w:p>
    <w:p w:rsidR="001A265D" w:rsidRDefault="001A265D" w:rsidP="00386FBA">
      <w:pPr>
        <w:rPr>
          <w:lang w:val="hr-BA"/>
        </w:rPr>
      </w:pPr>
    </w:p>
    <w:p w:rsidR="001A265D" w:rsidRDefault="001A265D" w:rsidP="00386FBA">
      <w:pPr>
        <w:rPr>
          <w:lang w:val="hr-HR"/>
        </w:rPr>
      </w:pPr>
      <w:r w:rsidRPr="003C794E">
        <w:rPr>
          <w:lang w:val="hr-BA"/>
        </w:rPr>
        <w:t>Broj</w:t>
      </w:r>
      <w:r w:rsidRPr="003C794E">
        <w:rPr>
          <w:lang w:val="hr-HR"/>
        </w:rPr>
        <w:t>: 04-</w:t>
      </w:r>
      <w:r w:rsidR="003C794E" w:rsidRPr="003C794E">
        <w:rPr>
          <w:lang w:val="hr-HR"/>
        </w:rPr>
        <w:t>11</w:t>
      </w:r>
      <w:r w:rsidR="001C0BB3" w:rsidRPr="003C794E">
        <w:rPr>
          <w:lang w:val="hr-HR"/>
        </w:rPr>
        <w:t>-</w:t>
      </w:r>
      <w:r w:rsidR="00252832">
        <w:rPr>
          <w:lang w:val="hr-HR"/>
        </w:rPr>
        <w:t>176</w:t>
      </w:r>
      <w:r w:rsidR="001C0BB3" w:rsidRPr="003C794E">
        <w:rPr>
          <w:lang w:val="hr-HR"/>
        </w:rPr>
        <w:t>/</w:t>
      </w:r>
      <w:r w:rsidR="000908A3">
        <w:rPr>
          <w:lang w:val="hr-HR"/>
        </w:rPr>
        <w:t>22</w:t>
      </w:r>
    </w:p>
    <w:p w:rsidR="001A265D" w:rsidRDefault="001A265D" w:rsidP="00386FBA">
      <w:pPr>
        <w:rPr>
          <w:lang w:val="hr-BA"/>
        </w:rPr>
      </w:pPr>
      <w:r>
        <w:rPr>
          <w:lang w:val="hr-BA"/>
        </w:rPr>
        <w:t xml:space="preserve">Orašje, </w:t>
      </w:r>
      <w:r w:rsidR="00252832">
        <w:rPr>
          <w:lang w:val="hr-HR"/>
        </w:rPr>
        <w:t>29</w:t>
      </w:r>
      <w:r>
        <w:rPr>
          <w:lang w:val="hr-HR"/>
        </w:rPr>
        <w:t>.</w:t>
      </w:r>
      <w:r w:rsidR="0025478D">
        <w:rPr>
          <w:lang w:val="hr-HR"/>
        </w:rPr>
        <w:t>0</w:t>
      </w:r>
      <w:r w:rsidR="000908A3">
        <w:rPr>
          <w:lang w:val="hr-HR"/>
        </w:rPr>
        <w:t>8</w:t>
      </w:r>
      <w:r>
        <w:rPr>
          <w:lang w:val="hr-HR"/>
        </w:rPr>
        <w:t>.20</w:t>
      </w:r>
      <w:r w:rsidR="00C55A63">
        <w:rPr>
          <w:lang w:val="hr-HR"/>
        </w:rPr>
        <w:t>2</w:t>
      </w:r>
      <w:r w:rsidR="000908A3">
        <w:rPr>
          <w:lang w:val="hr-HR"/>
        </w:rPr>
        <w:t>2</w:t>
      </w:r>
      <w:r>
        <w:rPr>
          <w:lang w:val="hr-BA"/>
        </w:rPr>
        <w:t>.</w:t>
      </w:r>
      <w:r w:rsidR="00252832">
        <w:rPr>
          <w:lang w:val="hr-BA"/>
        </w:rPr>
        <w:t xml:space="preserve"> </w:t>
      </w:r>
      <w:r>
        <w:rPr>
          <w:lang w:val="hr-BA"/>
        </w:rPr>
        <w:t>godine</w:t>
      </w:r>
    </w:p>
    <w:p w:rsidR="001A265D" w:rsidRDefault="001A265D" w:rsidP="00386FBA"/>
    <w:p w:rsidR="001A265D" w:rsidRDefault="001A265D" w:rsidP="00386FBA"/>
    <w:p w:rsidR="001A265D" w:rsidRDefault="001A265D" w:rsidP="00386FBA">
      <w:pPr>
        <w:rPr>
          <w:rFonts w:ascii="Book Antiqua" w:hAnsi="Book Antiqua"/>
          <w:lang w:val="hr-HR"/>
        </w:rPr>
      </w:pPr>
    </w:p>
    <w:p w:rsidR="001A265D" w:rsidRDefault="00FD255A" w:rsidP="00386FBA">
      <w:pPr>
        <w:pStyle w:val="Naslov3"/>
        <w:spacing w:line="240" w:lineRule="auto"/>
        <w:rPr>
          <w:b/>
          <w:bCs/>
        </w:rPr>
      </w:pPr>
      <w:r>
        <w:rPr>
          <w:b/>
          <w:bCs/>
        </w:rPr>
        <w:t>RAZDJELIMA</w:t>
      </w:r>
      <w:r w:rsidR="001A265D">
        <w:rPr>
          <w:b/>
          <w:bCs/>
        </w:rPr>
        <w:t xml:space="preserve"> PRORAČUNA-SVIMA</w:t>
      </w:r>
    </w:p>
    <w:p w:rsidR="001A265D" w:rsidRDefault="001A265D" w:rsidP="00386FBA">
      <w:pPr>
        <w:rPr>
          <w:lang w:val="hr-HR"/>
        </w:rPr>
      </w:pPr>
    </w:p>
    <w:p w:rsidR="00386FBA" w:rsidRDefault="00386FBA" w:rsidP="00386FBA">
      <w:pPr>
        <w:rPr>
          <w:lang w:val="hr-HR"/>
        </w:rPr>
      </w:pPr>
    </w:p>
    <w:p w:rsidR="001A265D" w:rsidRDefault="001A265D" w:rsidP="00386FBA">
      <w:pPr>
        <w:pStyle w:val="Naslov1"/>
        <w:jc w:val="left"/>
      </w:pPr>
      <w:r>
        <w:t>PREDMET:  Proračunske instrukcije broj 2.:</w:t>
      </w:r>
    </w:p>
    <w:p w:rsidR="001A265D" w:rsidRDefault="001A265D" w:rsidP="00386FBA">
      <w:pPr>
        <w:pStyle w:val="Naslov1"/>
        <w:ind w:left="1416"/>
        <w:jc w:val="left"/>
      </w:pPr>
      <w:r>
        <w:t xml:space="preserve">proračunska ograničenja/gornje granice rashoda za </w:t>
      </w:r>
      <w:r w:rsidR="000908A3">
        <w:t>2023</w:t>
      </w:r>
      <w:r>
        <w:t xml:space="preserve">. godinu i    smjernice za izradu zahtjeva proračunskog </w:t>
      </w:r>
      <w:r w:rsidR="00B73903">
        <w:t>razdjela</w:t>
      </w:r>
      <w:r>
        <w:t xml:space="preserve"> za </w:t>
      </w:r>
      <w:r w:rsidR="000908A3">
        <w:t>2023</w:t>
      </w:r>
      <w:r>
        <w:t>. godinu,  dostavlja se;</w:t>
      </w:r>
      <w:r>
        <w:rPr>
          <w:b w:val="0"/>
          <w:bCs w:val="0"/>
        </w:rPr>
        <w:t xml:space="preserve">      </w:t>
      </w:r>
    </w:p>
    <w:p w:rsidR="001A265D" w:rsidRDefault="001A265D" w:rsidP="00386FBA">
      <w:pPr>
        <w:rPr>
          <w:lang w:val="hr-HR"/>
        </w:rPr>
      </w:pPr>
    </w:p>
    <w:p w:rsidR="001A265D" w:rsidRDefault="001A265D" w:rsidP="00386FBA">
      <w:pPr>
        <w:pStyle w:val="Naslov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Uvod</w:t>
      </w:r>
    </w:p>
    <w:p w:rsidR="00386FBA" w:rsidRDefault="00386FBA" w:rsidP="00386FBA">
      <w:pPr>
        <w:ind w:firstLine="708"/>
        <w:jc w:val="both"/>
        <w:rPr>
          <w:lang w:val="hr-BA"/>
        </w:rPr>
      </w:pPr>
    </w:p>
    <w:p w:rsidR="001A265D" w:rsidRDefault="001A265D" w:rsidP="00386FBA">
      <w:pPr>
        <w:ind w:firstLine="708"/>
        <w:jc w:val="both"/>
        <w:rPr>
          <w:lang w:val="hr-HR"/>
        </w:rPr>
      </w:pPr>
      <w:r>
        <w:rPr>
          <w:lang w:val="hr-BA"/>
        </w:rPr>
        <w:t>Sukladno članku 1</w:t>
      </w:r>
      <w:r>
        <w:rPr>
          <w:lang w:val="hr-HR"/>
        </w:rPr>
        <w:t>9</w:t>
      </w:r>
      <w:r>
        <w:rPr>
          <w:lang w:val="hr-BA"/>
        </w:rPr>
        <w:t>. Zakona o proračunima u Federaciji Bosne i Hercegovine („Službene novine Federacije BiH“</w:t>
      </w:r>
      <w:r>
        <w:rPr>
          <w:lang w:val="hr-HR"/>
        </w:rPr>
        <w:t>,</w:t>
      </w:r>
      <w:r>
        <w:rPr>
          <w:lang w:val="hr-BA"/>
        </w:rPr>
        <w:t xml:space="preserve"> broj: 102/13, 9/14</w:t>
      </w:r>
      <w:r w:rsidR="00772A4C">
        <w:rPr>
          <w:lang w:val="hr-BA"/>
        </w:rPr>
        <w:t>,</w:t>
      </w:r>
      <w:r>
        <w:rPr>
          <w:lang w:val="hr-BA"/>
        </w:rPr>
        <w:t xml:space="preserve"> 13/14</w:t>
      </w:r>
      <w:r w:rsidR="00772A4C">
        <w:rPr>
          <w:lang w:val="hr-BA"/>
        </w:rPr>
        <w:t>, 8/15, 91/15</w:t>
      </w:r>
      <w:r w:rsidR="00D9748C">
        <w:rPr>
          <w:lang w:val="hr-BA"/>
        </w:rPr>
        <w:t>,</w:t>
      </w:r>
      <w:r w:rsidR="00772A4C">
        <w:rPr>
          <w:lang w:val="hr-BA"/>
        </w:rPr>
        <w:t xml:space="preserve"> 102/15</w:t>
      </w:r>
      <w:r w:rsidR="003F1455">
        <w:rPr>
          <w:lang w:val="hr-BA"/>
        </w:rPr>
        <w:t>,</w:t>
      </w:r>
      <w:r w:rsidR="00D9748C">
        <w:rPr>
          <w:lang w:val="hr-BA"/>
        </w:rPr>
        <w:t xml:space="preserve"> 104/16</w:t>
      </w:r>
      <w:r w:rsidR="00B408F5">
        <w:rPr>
          <w:lang w:val="hr-BA"/>
        </w:rPr>
        <w:t>,</w:t>
      </w:r>
      <w:r w:rsidR="003F1455">
        <w:rPr>
          <w:lang w:val="hr-BA"/>
        </w:rPr>
        <w:t xml:space="preserve"> 5/18</w:t>
      </w:r>
      <w:r w:rsidR="00C55A63">
        <w:rPr>
          <w:lang w:val="hr-BA"/>
        </w:rPr>
        <w:t xml:space="preserve">, </w:t>
      </w:r>
      <w:r w:rsidR="00B408F5">
        <w:rPr>
          <w:lang w:val="hr-BA"/>
        </w:rPr>
        <w:t>11/19</w:t>
      </w:r>
      <w:r w:rsidR="000908A3">
        <w:rPr>
          <w:lang w:val="hr-BA"/>
        </w:rPr>
        <w:t>,</w:t>
      </w:r>
      <w:r w:rsidR="00C55A63">
        <w:rPr>
          <w:lang w:val="hr-BA"/>
        </w:rPr>
        <w:t xml:space="preserve"> 99/19</w:t>
      </w:r>
      <w:r w:rsidR="000908A3">
        <w:rPr>
          <w:lang w:val="hr-BA"/>
        </w:rPr>
        <w:t xml:space="preserve"> i 25a/22</w:t>
      </w:r>
      <w:r>
        <w:rPr>
          <w:lang w:val="hr-BA"/>
        </w:rPr>
        <w:t xml:space="preserve">) pozivamo Vas da podnesete zahtjev za proračunskim sredstvima za </w:t>
      </w:r>
      <w:r w:rsidR="000908A3">
        <w:rPr>
          <w:lang w:val="hr-BA"/>
        </w:rPr>
        <w:t>2023</w:t>
      </w:r>
      <w:r>
        <w:rPr>
          <w:lang w:val="hr-BA"/>
        </w:rPr>
        <w:t>.</w:t>
      </w:r>
      <w:r>
        <w:rPr>
          <w:lang w:val="hr-HR"/>
        </w:rPr>
        <w:t xml:space="preserve"> </w:t>
      </w:r>
      <w:r>
        <w:rPr>
          <w:lang w:val="hr-BA"/>
        </w:rPr>
        <w:t>godinu.</w:t>
      </w:r>
    </w:p>
    <w:p w:rsidR="001A265D" w:rsidRDefault="001A265D" w:rsidP="00386FBA">
      <w:pPr>
        <w:ind w:firstLine="708"/>
        <w:jc w:val="both"/>
        <w:rPr>
          <w:lang w:val="hr-HR"/>
        </w:rPr>
      </w:pPr>
    </w:p>
    <w:p w:rsidR="001A265D" w:rsidRDefault="001A265D" w:rsidP="00386FBA">
      <w:pPr>
        <w:ind w:firstLine="708"/>
        <w:jc w:val="both"/>
        <w:rPr>
          <w:lang w:val="hr-HR"/>
        </w:rPr>
      </w:pPr>
      <w:r>
        <w:rPr>
          <w:lang w:val="hr-HR"/>
        </w:rPr>
        <w:t>Svrha proračunskih instrukcija broj 2. je:</w:t>
      </w:r>
    </w:p>
    <w:p w:rsidR="001A265D" w:rsidRDefault="001A265D" w:rsidP="00386FBA">
      <w:pPr>
        <w:numPr>
          <w:ilvl w:val="0"/>
          <w:numId w:val="4"/>
        </w:numPr>
        <w:jc w:val="both"/>
        <w:rPr>
          <w:spacing w:val="-2"/>
          <w:lang w:val="hr-HR"/>
        </w:rPr>
      </w:pPr>
      <w:r>
        <w:rPr>
          <w:lang w:val="hr-HR"/>
        </w:rPr>
        <w:t xml:space="preserve">Pružiti proračunskim </w:t>
      </w:r>
      <w:r w:rsidR="00FE4EF9">
        <w:rPr>
          <w:lang w:val="hr-HR"/>
        </w:rPr>
        <w:t>razdjelima</w:t>
      </w:r>
      <w:r>
        <w:rPr>
          <w:lang w:val="hr-HR"/>
        </w:rPr>
        <w:t xml:space="preserve"> smjernice o početnim proračunskim ograničenjima za </w:t>
      </w:r>
      <w:r w:rsidR="000908A3">
        <w:rPr>
          <w:lang w:val="hr-HR"/>
        </w:rPr>
        <w:t>2023</w:t>
      </w:r>
      <w:r>
        <w:rPr>
          <w:lang w:val="hr-HR"/>
        </w:rPr>
        <w:t>. godinu;</w:t>
      </w:r>
    </w:p>
    <w:p w:rsidR="001A265D" w:rsidRDefault="001A265D" w:rsidP="00386FBA">
      <w:pPr>
        <w:numPr>
          <w:ilvl w:val="0"/>
          <w:numId w:val="4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Dati upute/smjernice i potrebne informacije za pripremu zahtjeva proračunskih </w:t>
      </w:r>
      <w:r w:rsidR="00FE4EF9">
        <w:rPr>
          <w:spacing w:val="-2"/>
          <w:lang w:val="hr-HR"/>
        </w:rPr>
        <w:t>razdjela</w:t>
      </w:r>
      <w:r>
        <w:rPr>
          <w:spacing w:val="-2"/>
          <w:lang w:val="hr-HR"/>
        </w:rPr>
        <w:t xml:space="preserve"> za </w:t>
      </w:r>
      <w:r w:rsidR="000908A3">
        <w:rPr>
          <w:spacing w:val="-2"/>
          <w:lang w:val="hr-HR"/>
        </w:rPr>
        <w:t>2023</w:t>
      </w:r>
      <w:r>
        <w:rPr>
          <w:spacing w:val="-2"/>
          <w:lang w:val="hr-HR"/>
        </w:rPr>
        <w:t>. godinu;</w:t>
      </w:r>
    </w:p>
    <w:p w:rsidR="001A265D" w:rsidRDefault="001A265D" w:rsidP="00386FBA">
      <w:pPr>
        <w:numPr>
          <w:ilvl w:val="0"/>
          <w:numId w:val="4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Zahtijevati od proračunskih </w:t>
      </w:r>
      <w:r w:rsidR="00FE4EF9">
        <w:rPr>
          <w:spacing w:val="-2"/>
          <w:lang w:val="hr-HR"/>
        </w:rPr>
        <w:t>razdjela</w:t>
      </w:r>
      <w:r>
        <w:rPr>
          <w:spacing w:val="-2"/>
          <w:lang w:val="hr-HR"/>
        </w:rPr>
        <w:t xml:space="preserve"> da pripreme zahtjeve po ekonomskoj klasifikaciji pridržavajući se početnih proračunskih ograničenja za </w:t>
      </w:r>
      <w:r w:rsidR="000908A3">
        <w:rPr>
          <w:spacing w:val="-2"/>
          <w:lang w:val="hr-HR"/>
        </w:rPr>
        <w:t>2023</w:t>
      </w:r>
      <w:r>
        <w:rPr>
          <w:spacing w:val="-2"/>
          <w:lang w:val="hr-HR"/>
        </w:rPr>
        <w:t>. godinu.</w:t>
      </w:r>
    </w:p>
    <w:p w:rsidR="001A265D" w:rsidRDefault="001A265D" w:rsidP="00386FBA">
      <w:pPr>
        <w:ind w:left="708"/>
        <w:jc w:val="both"/>
        <w:rPr>
          <w:spacing w:val="-2"/>
          <w:lang w:val="hr-HR"/>
        </w:rPr>
      </w:pPr>
    </w:p>
    <w:p w:rsidR="001A265D" w:rsidRDefault="001A265D" w:rsidP="00386FBA">
      <w:pPr>
        <w:pStyle w:val="Tijeloteksta"/>
        <w:ind w:firstLine="708"/>
      </w:pPr>
      <w:r>
        <w:t xml:space="preserve">Nakon što proračunski </w:t>
      </w:r>
      <w:r w:rsidR="00FE4EF9">
        <w:t>razdjeli</w:t>
      </w:r>
      <w:r>
        <w:t xml:space="preserve"> dostave svoje zahtjeve, Ministarstvo finan</w:t>
      </w:r>
      <w:r w:rsidR="00772A4C">
        <w:t>c</w:t>
      </w:r>
      <w:r>
        <w:t>ija će analizirati zahtjeve i dati preporuke Vladi</w:t>
      </w:r>
      <w:r w:rsidR="00FE4EF9">
        <w:t xml:space="preserve"> Županije Posavske</w:t>
      </w:r>
      <w:r>
        <w:t xml:space="preserve">. Tijekom analize, Sektor za proračun Ministarstva financija će, ukoliko je potrebno, održati sastanke s proračunskim </w:t>
      </w:r>
      <w:r w:rsidR="00FE4EF9">
        <w:t>razdjelima</w:t>
      </w:r>
      <w:r>
        <w:t xml:space="preserve"> vezane za tehnička pitanja (uključujući i sva druga pitanja vezana za rashode proračunskog </w:t>
      </w:r>
      <w:r w:rsidR="00FE4EF9">
        <w:t>razdjela</w:t>
      </w:r>
      <w:r>
        <w:t>).</w:t>
      </w:r>
    </w:p>
    <w:p w:rsidR="001A265D" w:rsidRDefault="001A265D" w:rsidP="00386FBA">
      <w:pPr>
        <w:pStyle w:val="Tijeloteksta"/>
      </w:pPr>
      <w:r>
        <w:t xml:space="preserve">  </w:t>
      </w:r>
      <w:r>
        <w:tab/>
        <w:t xml:space="preserve">Kada Vlada izvrši pregled i analizu te usvoji informacije i preporuke Ministarstva financija, Skupštini Županije Posavske će dostaviti prijedlog proračuna zajedno s prijedlogom Zakona o izvršavanju proračuna Županije Posavske za </w:t>
      </w:r>
      <w:r w:rsidR="000908A3">
        <w:t>2023</w:t>
      </w:r>
      <w:r>
        <w:t>. godinu.</w:t>
      </w:r>
    </w:p>
    <w:p w:rsidR="001A265D" w:rsidRDefault="001A265D" w:rsidP="00386FBA">
      <w:pPr>
        <w:ind w:firstLine="708"/>
        <w:jc w:val="both"/>
        <w:rPr>
          <w:spacing w:val="-2"/>
          <w:lang w:val="hr-HR"/>
        </w:rPr>
      </w:pPr>
      <w:r>
        <w:rPr>
          <w:spacing w:val="-2"/>
          <w:lang w:val="hr-HR"/>
        </w:rPr>
        <w:t>Napominjemo da dinamika ostvarenja proračunskih prihoda određuje okvir trošenja proračunskih sredstava, te ako nema naplate proračunskih prihoda nema ni doznačavanja sredstava bez obzira na veličine predviđene u proračunu.</w:t>
      </w:r>
    </w:p>
    <w:p w:rsidR="001A265D" w:rsidRDefault="001A265D" w:rsidP="00386FBA">
      <w:pPr>
        <w:jc w:val="both"/>
        <w:rPr>
          <w:szCs w:val="20"/>
          <w:lang w:val="hr-HR"/>
        </w:rPr>
      </w:pPr>
      <w:r>
        <w:rPr>
          <w:szCs w:val="20"/>
          <w:lang w:val="hr-HR"/>
        </w:rPr>
        <w:tab/>
      </w:r>
    </w:p>
    <w:p w:rsidR="00C55A63" w:rsidRDefault="00C55A63" w:rsidP="00386FBA">
      <w:pPr>
        <w:jc w:val="both"/>
        <w:rPr>
          <w:szCs w:val="20"/>
          <w:lang w:val="hr-HR"/>
        </w:rPr>
      </w:pPr>
    </w:p>
    <w:p w:rsidR="00C55A63" w:rsidRDefault="00C55A63" w:rsidP="00386FBA">
      <w:pPr>
        <w:jc w:val="both"/>
        <w:rPr>
          <w:szCs w:val="20"/>
          <w:lang w:val="hr-HR"/>
        </w:rPr>
      </w:pPr>
    </w:p>
    <w:p w:rsidR="001A265D" w:rsidRDefault="001A265D" w:rsidP="00386FBA">
      <w:pPr>
        <w:pStyle w:val="Naslov4"/>
      </w:pPr>
      <w:r>
        <w:lastRenderedPageBreak/>
        <w:t>Smjernice ekonomske i fiskalne politike</w:t>
      </w:r>
    </w:p>
    <w:p w:rsidR="001A265D" w:rsidRPr="008F707B" w:rsidRDefault="001A265D" w:rsidP="00386FBA">
      <w:pPr>
        <w:ind w:firstLine="708"/>
        <w:jc w:val="both"/>
        <w:rPr>
          <w:spacing w:val="-2"/>
          <w:sz w:val="16"/>
          <w:szCs w:val="16"/>
          <w:lang w:val="hr-HR"/>
        </w:rPr>
      </w:pPr>
    </w:p>
    <w:p w:rsidR="001A265D" w:rsidRDefault="001A265D" w:rsidP="00386FBA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>
        <w:rPr>
          <w:lang w:val="hr-HR"/>
        </w:rPr>
        <w:t xml:space="preserve">U Dokumentu okvirnog proračuna Županije Posavske za razdoblje </w:t>
      </w:r>
      <w:r w:rsidR="000908A3">
        <w:rPr>
          <w:lang w:val="hr-HR"/>
        </w:rPr>
        <w:t>2023</w:t>
      </w:r>
      <w:r>
        <w:rPr>
          <w:lang w:val="hr-HR"/>
        </w:rPr>
        <w:t>.-</w:t>
      </w:r>
      <w:r w:rsidR="000908A3">
        <w:rPr>
          <w:lang w:val="hr-HR"/>
        </w:rPr>
        <w:t>2025</w:t>
      </w:r>
      <w:r>
        <w:rPr>
          <w:lang w:val="hr-HR"/>
        </w:rPr>
        <w:t>.g</w:t>
      </w:r>
      <w:r w:rsidR="008F707B">
        <w:rPr>
          <w:lang w:val="hr-HR"/>
        </w:rPr>
        <w:t>.</w:t>
      </w:r>
      <w:r>
        <w:rPr>
          <w:lang w:val="hr-HR"/>
        </w:rPr>
        <w:t xml:space="preserve"> sačinjena je detaljna analiza projiciranih prihoda i primitaka Proračuna za </w:t>
      </w:r>
      <w:r w:rsidR="000908A3">
        <w:rPr>
          <w:lang w:val="hr-HR"/>
        </w:rPr>
        <w:t>2023</w:t>
      </w:r>
      <w:r>
        <w:rPr>
          <w:lang w:val="hr-HR"/>
        </w:rPr>
        <w:t xml:space="preserve">. godinu, kao i utvrđena gornja granica rashoda i izdataka za sve </w:t>
      </w:r>
      <w:r w:rsidR="0025478D">
        <w:rPr>
          <w:lang w:val="hr-HR"/>
        </w:rPr>
        <w:t>razdjele Proračuna Županije Posavske</w:t>
      </w:r>
      <w:r w:rsidR="00396F14">
        <w:rPr>
          <w:lang w:val="hr-HR"/>
        </w:rPr>
        <w:t>, s posebnim naglaskom na rashode koji se planiraju financirati iz proračunskih prihoda.</w:t>
      </w:r>
      <w:r>
        <w:rPr>
          <w:lang w:val="hr-HR"/>
        </w:rPr>
        <w:t xml:space="preserve"> Pritom se polazilo od važnih odrednica prihodovne strane Proračuna, osobit</w:t>
      </w:r>
      <w:r w:rsidR="0016515B">
        <w:rPr>
          <w:lang w:val="hr-HR"/>
        </w:rPr>
        <w:t>o prihoda od izravnih i neizravnih poreza</w:t>
      </w:r>
      <w:r>
        <w:rPr>
          <w:lang w:val="hr-HR"/>
        </w:rPr>
        <w:t>. Osnovu za planiranje prihoda od neizravnih poreza čine projekcije Odjeljenja za makroekonomske analize Uprave za neizravno oporezivanje BiH, zasnovane na revidiranim prognozama makroekonomskih pokazatelja Direkcije za ekonomsko planiranje (DEP) i tekućim trendovima u naplati prihoda od neizravnih poreza. Projekcija tekuć</w:t>
      </w:r>
      <w:r w:rsidR="0016515B">
        <w:rPr>
          <w:lang w:val="hr-HR"/>
        </w:rPr>
        <w:t>e</w:t>
      </w:r>
      <w:r>
        <w:rPr>
          <w:lang w:val="hr-HR"/>
        </w:rPr>
        <w:t xml:space="preserve"> potpor</w:t>
      </w:r>
      <w:r w:rsidR="0016515B">
        <w:rPr>
          <w:lang w:val="hr-HR"/>
        </w:rPr>
        <w:t>e</w:t>
      </w:r>
      <w:r>
        <w:rPr>
          <w:lang w:val="hr-HR"/>
        </w:rPr>
        <w:t xml:space="preserve"> s viših razina vlasti zasnovana je na </w:t>
      </w:r>
      <w:r w:rsidR="0016515B">
        <w:rPr>
          <w:lang w:val="hr-HR"/>
        </w:rPr>
        <w:t>njezinim</w:t>
      </w:r>
      <w:r>
        <w:rPr>
          <w:lang w:val="hr-HR"/>
        </w:rPr>
        <w:t xml:space="preserve"> dosadašnjim kretanjima u srednjoročnom razdoblju</w:t>
      </w:r>
      <w:r w:rsidR="00CA7A87">
        <w:rPr>
          <w:lang w:val="hr-HR"/>
        </w:rPr>
        <w:t>,</w:t>
      </w:r>
      <w:r>
        <w:rPr>
          <w:lang w:val="hr-HR"/>
        </w:rPr>
        <w:t xml:space="preserve"> i kao takva je upitna i neizvjesna. </w:t>
      </w:r>
    </w:p>
    <w:p w:rsidR="001A265D" w:rsidRPr="008F707B" w:rsidRDefault="001A265D" w:rsidP="00386FBA">
      <w:pPr>
        <w:autoSpaceDE w:val="0"/>
        <w:autoSpaceDN w:val="0"/>
        <w:adjustRightInd w:val="0"/>
        <w:jc w:val="both"/>
        <w:rPr>
          <w:sz w:val="16"/>
          <w:szCs w:val="16"/>
          <w:lang w:val="hr-HR"/>
        </w:rPr>
      </w:pPr>
    </w:p>
    <w:p w:rsidR="0025478D" w:rsidRPr="00593BFE" w:rsidRDefault="001A265D" w:rsidP="00BB1054">
      <w:pPr>
        <w:autoSpaceDE w:val="0"/>
        <w:autoSpaceDN w:val="0"/>
        <w:adjustRightInd w:val="0"/>
        <w:ind w:firstLine="708"/>
        <w:jc w:val="both"/>
      </w:pPr>
      <w:r w:rsidRPr="00593BFE">
        <w:rPr>
          <w:lang w:val="hr-HR"/>
        </w:rPr>
        <w:t xml:space="preserve">Prema </w:t>
      </w:r>
      <w:r w:rsidR="00D92154" w:rsidRPr="00593BFE">
        <w:rPr>
          <w:lang w:val="hr-HR"/>
        </w:rPr>
        <w:t>revidiranim</w:t>
      </w:r>
      <w:r w:rsidRPr="00593BFE">
        <w:rPr>
          <w:lang w:val="hr-HR"/>
        </w:rPr>
        <w:t xml:space="preserve"> projekcijama </w:t>
      </w:r>
      <w:r w:rsidR="0016515B" w:rsidRPr="00593BFE">
        <w:rPr>
          <w:lang w:val="hr-HR"/>
        </w:rPr>
        <w:t xml:space="preserve">iz </w:t>
      </w:r>
      <w:r w:rsidR="00C55A63" w:rsidRPr="00593BFE">
        <w:rPr>
          <w:lang w:val="hr-HR"/>
        </w:rPr>
        <w:t>svibnja</w:t>
      </w:r>
      <w:r w:rsidR="0016515B" w:rsidRPr="00593BFE">
        <w:rPr>
          <w:lang w:val="hr-HR"/>
        </w:rPr>
        <w:t xml:space="preserve"> </w:t>
      </w:r>
      <w:r w:rsidR="00396F14" w:rsidRPr="00593BFE">
        <w:rPr>
          <w:lang w:val="hr-HR"/>
        </w:rPr>
        <w:t>2022</w:t>
      </w:r>
      <w:r w:rsidR="0016515B" w:rsidRPr="00593BFE">
        <w:rPr>
          <w:lang w:val="hr-HR"/>
        </w:rPr>
        <w:t xml:space="preserve">. godine </w:t>
      </w:r>
      <w:r w:rsidRPr="00593BFE">
        <w:rPr>
          <w:lang w:val="hr-HR"/>
        </w:rPr>
        <w:t xml:space="preserve">dio prihoda od neizravnih poreza s Jedinstvenog računa koji pripadaju Federaciji BiH, a služe za financiranje funkcija Proračuna Županije Posavske </w:t>
      </w:r>
      <w:r w:rsidR="00D22DEE" w:rsidRPr="00593BFE">
        <w:t xml:space="preserve">u </w:t>
      </w:r>
      <w:r w:rsidR="00396F14" w:rsidRPr="00593BFE">
        <w:t>2023</w:t>
      </w:r>
      <w:r w:rsidR="00D22DEE" w:rsidRPr="00593BFE">
        <w:t>.g</w:t>
      </w:r>
      <w:r w:rsidR="008F707B" w:rsidRPr="00593BFE">
        <w:t>.</w:t>
      </w:r>
      <w:r w:rsidR="00D22DEE" w:rsidRPr="00593BFE">
        <w:t xml:space="preserve"> </w:t>
      </w:r>
      <w:proofErr w:type="spellStart"/>
      <w:proofErr w:type="gramStart"/>
      <w:r w:rsidR="00D22DEE" w:rsidRPr="00593BFE">
        <w:t>iznosi</w:t>
      </w:r>
      <w:proofErr w:type="spellEnd"/>
      <w:proofErr w:type="gramEnd"/>
      <w:r w:rsidR="00D22DEE" w:rsidRPr="00593BFE">
        <w:t xml:space="preserve"> </w:t>
      </w:r>
      <w:r w:rsidR="00396F14" w:rsidRPr="00593BFE">
        <w:t>35.735.840</w:t>
      </w:r>
      <w:r w:rsidR="00D22DEE" w:rsidRPr="00593BFE">
        <w:t xml:space="preserve"> KM </w:t>
      </w:r>
      <w:proofErr w:type="spellStart"/>
      <w:r w:rsidR="00D22DEE" w:rsidRPr="00593BFE">
        <w:t>ili</w:t>
      </w:r>
      <w:proofErr w:type="spellEnd"/>
      <w:r w:rsidR="00D22DEE" w:rsidRPr="00593BFE">
        <w:t xml:space="preserve"> </w:t>
      </w:r>
      <w:r w:rsidR="00396F14" w:rsidRPr="00593BFE">
        <w:t>6,62</w:t>
      </w:r>
      <w:r w:rsidR="00D22DEE" w:rsidRPr="00593BFE">
        <w:t xml:space="preserve">% </w:t>
      </w:r>
      <w:r w:rsidR="00C55A63" w:rsidRPr="00593BFE">
        <w:t>(</w:t>
      </w:r>
      <w:proofErr w:type="spellStart"/>
      <w:r w:rsidR="00396F14" w:rsidRPr="00593BFE">
        <w:t>preko</w:t>
      </w:r>
      <w:proofErr w:type="spellEnd"/>
      <w:r w:rsidR="00C55A63" w:rsidRPr="00593BFE">
        <w:t xml:space="preserve"> </w:t>
      </w:r>
      <w:r w:rsidR="00396F14" w:rsidRPr="00593BFE">
        <w:t>2,2</w:t>
      </w:r>
      <w:r w:rsidR="00C55A63" w:rsidRPr="00593BFE">
        <w:t xml:space="preserve"> </w:t>
      </w:r>
      <w:proofErr w:type="spellStart"/>
      <w:r w:rsidR="00C55A63" w:rsidRPr="00593BFE">
        <w:t>milijuna</w:t>
      </w:r>
      <w:proofErr w:type="spellEnd"/>
      <w:r w:rsidR="00C55A63" w:rsidRPr="00593BFE">
        <w:t xml:space="preserve"> KM) </w:t>
      </w:r>
      <w:proofErr w:type="spellStart"/>
      <w:r w:rsidR="0025478D" w:rsidRPr="00593BFE">
        <w:t>više</w:t>
      </w:r>
      <w:proofErr w:type="spellEnd"/>
      <w:r w:rsidR="00D22DEE" w:rsidRPr="00593BFE">
        <w:t xml:space="preserve"> u </w:t>
      </w:r>
      <w:proofErr w:type="spellStart"/>
      <w:r w:rsidR="00D22DEE" w:rsidRPr="00593BFE">
        <w:t>odnosu</w:t>
      </w:r>
      <w:proofErr w:type="spellEnd"/>
      <w:r w:rsidR="00D22DEE" w:rsidRPr="00593BFE">
        <w:t xml:space="preserve"> </w:t>
      </w:r>
      <w:proofErr w:type="spellStart"/>
      <w:r w:rsidR="00D22DEE" w:rsidRPr="00593BFE">
        <w:t>na</w:t>
      </w:r>
      <w:proofErr w:type="spellEnd"/>
      <w:r w:rsidR="00D22DEE" w:rsidRPr="00593BFE">
        <w:t xml:space="preserve"> </w:t>
      </w:r>
      <w:r w:rsidR="0025478D" w:rsidRPr="00593BFE">
        <w:t xml:space="preserve">plan </w:t>
      </w:r>
      <w:proofErr w:type="spellStart"/>
      <w:r w:rsidR="0025478D" w:rsidRPr="00593BFE">
        <w:t>ovih</w:t>
      </w:r>
      <w:proofErr w:type="spellEnd"/>
      <w:r w:rsidR="0025478D" w:rsidRPr="00593BFE">
        <w:t xml:space="preserve"> </w:t>
      </w:r>
      <w:proofErr w:type="spellStart"/>
      <w:r w:rsidR="0025478D" w:rsidRPr="00593BFE">
        <w:t>prihoda</w:t>
      </w:r>
      <w:proofErr w:type="spellEnd"/>
      <w:r w:rsidR="0025478D" w:rsidRPr="00593BFE">
        <w:t xml:space="preserve"> za </w:t>
      </w:r>
      <w:r w:rsidR="00396F14" w:rsidRPr="00593BFE">
        <w:t>2022</w:t>
      </w:r>
      <w:r w:rsidR="0025478D" w:rsidRPr="00593BFE">
        <w:t xml:space="preserve">. </w:t>
      </w:r>
      <w:proofErr w:type="spellStart"/>
      <w:proofErr w:type="gramStart"/>
      <w:r w:rsidR="0025478D" w:rsidRPr="00593BFE">
        <w:t>godinu</w:t>
      </w:r>
      <w:proofErr w:type="spellEnd"/>
      <w:proofErr w:type="gramEnd"/>
      <w:r w:rsidR="0025478D" w:rsidRPr="00593BFE">
        <w:t xml:space="preserve">. </w:t>
      </w:r>
      <w:proofErr w:type="spellStart"/>
      <w:r w:rsidR="0025478D" w:rsidRPr="00593BFE">
        <w:t>Projekcije</w:t>
      </w:r>
      <w:proofErr w:type="spellEnd"/>
      <w:r w:rsidR="0025478D" w:rsidRPr="00593BFE">
        <w:t xml:space="preserve"> </w:t>
      </w:r>
      <w:proofErr w:type="spellStart"/>
      <w:r w:rsidR="0025478D" w:rsidRPr="00593BFE">
        <w:t>prihoda</w:t>
      </w:r>
      <w:proofErr w:type="spellEnd"/>
      <w:r w:rsidR="0025478D" w:rsidRPr="00593BFE">
        <w:t xml:space="preserve"> </w:t>
      </w:r>
      <w:proofErr w:type="spellStart"/>
      <w:proofErr w:type="gramStart"/>
      <w:r w:rsidR="0025478D" w:rsidRPr="00593BFE">
        <w:t>od</w:t>
      </w:r>
      <w:proofErr w:type="spellEnd"/>
      <w:proofErr w:type="gramEnd"/>
      <w:r w:rsidR="0025478D" w:rsidRPr="00593BFE">
        <w:t xml:space="preserve"> </w:t>
      </w:r>
      <w:proofErr w:type="spellStart"/>
      <w:r w:rsidR="0025478D" w:rsidRPr="00593BFE">
        <w:t>poreza</w:t>
      </w:r>
      <w:proofErr w:type="spellEnd"/>
      <w:r w:rsidR="0025478D" w:rsidRPr="00593BFE">
        <w:t xml:space="preserve"> </w:t>
      </w:r>
      <w:proofErr w:type="spellStart"/>
      <w:r w:rsidR="0025478D" w:rsidRPr="00593BFE">
        <w:t>na</w:t>
      </w:r>
      <w:proofErr w:type="spellEnd"/>
      <w:r w:rsidR="0025478D" w:rsidRPr="00593BFE">
        <w:t xml:space="preserve"> </w:t>
      </w:r>
      <w:proofErr w:type="spellStart"/>
      <w:r w:rsidR="0025478D" w:rsidRPr="00593BFE">
        <w:t>dohodak</w:t>
      </w:r>
      <w:proofErr w:type="spellEnd"/>
      <w:r w:rsidR="0025478D" w:rsidRPr="00593BFE">
        <w:t xml:space="preserve"> </w:t>
      </w:r>
      <w:proofErr w:type="spellStart"/>
      <w:r w:rsidR="0025478D" w:rsidRPr="00593BFE">
        <w:t>također</w:t>
      </w:r>
      <w:proofErr w:type="spellEnd"/>
      <w:r w:rsidR="0025478D" w:rsidRPr="00593BFE">
        <w:t xml:space="preserve"> </w:t>
      </w:r>
      <w:r w:rsidR="00396F14" w:rsidRPr="00593BFE">
        <w:t xml:space="preserve">je </w:t>
      </w:r>
      <w:proofErr w:type="spellStart"/>
      <w:r w:rsidR="00396F14" w:rsidRPr="00593BFE">
        <w:t>viša</w:t>
      </w:r>
      <w:proofErr w:type="spellEnd"/>
      <w:r w:rsidR="0025478D" w:rsidRPr="00593BFE">
        <w:t xml:space="preserve"> </w:t>
      </w:r>
      <w:proofErr w:type="spellStart"/>
      <w:r w:rsidR="0025478D" w:rsidRPr="00593BFE">
        <w:t>od</w:t>
      </w:r>
      <w:proofErr w:type="spellEnd"/>
      <w:r w:rsidR="0025478D" w:rsidRPr="00593BFE">
        <w:t xml:space="preserve"> </w:t>
      </w:r>
      <w:proofErr w:type="spellStart"/>
      <w:r w:rsidR="0025478D" w:rsidRPr="00593BFE">
        <w:t>planiranih</w:t>
      </w:r>
      <w:proofErr w:type="spellEnd"/>
      <w:r w:rsidR="0025478D" w:rsidRPr="00593BFE">
        <w:t xml:space="preserve"> u </w:t>
      </w:r>
      <w:r w:rsidR="00396F14" w:rsidRPr="00593BFE">
        <w:t>2022</w:t>
      </w:r>
      <w:r w:rsidR="0025478D" w:rsidRPr="00593BFE">
        <w:t xml:space="preserve">. </w:t>
      </w:r>
      <w:proofErr w:type="spellStart"/>
      <w:proofErr w:type="gramStart"/>
      <w:r w:rsidR="0025478D" w:rsidRPr="00593BFE">
        <w:t>godini</w:t>
      </w:r>
      <w:proofErr w:type="spellEnd"/>
      <w:proofErr w:type="gramEnd"/>
      <w:r w:rsidR="0025478D" w:rsidRPr="00593BFE">
        <w:t xml:space="preserve">, </w:t>
      </w:r>
      <w:proofErr w:type="spellStart"/>
      <w:r w:rsidR="0025478D" w:rsidRPr="00593BFE">
        <w:t>i</w:t>
      </w:r>
      <w:proofErr w:type="spellEnd"/>
      <w:r w:rsidR="0025478D" w:rsidRPr="00593BFE">
        <w:t xml:space="preserve"> to za </w:t>
      </w:r>
      <w:r w:rsidR="00396F14" w:rsidRPr="00593BFE">
        <w:t>7,11</w:t>
      </w:r>
      <w:r w:rsidR="0025478D" w:rsidRPr="00593BFE">
        <w:t>%</w:t>
      </w:r>
      <w:r w:rsidR="00396F14" w:rsidRPr="00593BFE">
        <w:t xml:space="preserve">, </w:t>
      </w:r>
      <w:proofErr w:type="spellStart"/>
      <w:r w:rsidR="00396F14" w:rsidRPr="00593BFE">
        <w:t>dok</w:t>
      </w:r>
      <w:proofErr w:type="spellEnd"/>
      <w:r w:rsidR="00396F14" w:rsidRPr="00593BFE">
        <w:t xml:space="preserve"> se u 2023. </w:t>
      </w:r>
      <w:proofErr w:type="spellStart"/>
      <w:proofErr w:type="gramStart"/>
      <w:r w:rsidR="00396F14" w:rsidRPr="00593BFE">
        <w:t>godini</w:t>
      </w:r>
      <w:proofErr w:type="spellEnd"/>
      <w:proofErr w:type="gramEnd"/>
      <w:r w:rsidR="00396F14" w:rsidRPr="00593BFE">
        <w:t xml:space="preserve"> </w:t>
      </w:r>
      <w:proofErr w:type="spellStart"/>
      <w:r w:rsidR="00396F14" w:rsidRPr="00593BFE">
        <w:t>očekuje</w:t>
      </w:r>
      <w:proofErr w:type="spellEnd"/>
      <w:r w:rsidR="00396F14" w:rsidRPr="00593BFE">
        <w:t xml:space="preserve"> </w:t>
      </w:r>
      <w:proofErr w:type="spellStart"/>
      <w:r w:rsidR="00396F14" w:rsidRPr="00593BFE">
        <w:t>manja</w:t>
      </w:r>
      <w:proofErr w:type="spellEnd"/>
      <w:r w:rsidR="00396F14" w:rsidRPr="00593BFE">
        <w:t xml:space="preserve"> </w:t>
      </w:r>
      <w:proofErr w:type="spellStart"/>
      <w:r w:rsidR="00396F14" w:rsidRPr="00593BFE">
        <w:t>naplata</w:t>
      </w:r>
      <w:proofErr w:type="spellEnd"/>
      <w:r w:rsidR="00396F14" w:rsidRPr="00593BFE">
        <w:t xml:space="preserve"> </w:t>
      </w:r>
      <w:proofErr w:type="spellStart"/>
      <w:r w:rsidR="00396F14" w:rsidRPr="00593BFE">
        <w:t>prihoda</w:t>
      </w:r>
      <w:proofErr w:type="spellEnd"/>
      <w:r w:rsidR="00396F14" w:rsidRPr="00593BFE">
        <w:t xml:space="preserve"> </w:t>
      </w:r>
      <w:proofErr w:type="spellStart"/>
      <w:r w:rsidR="00396F14" w:rsidRPr="00593BFE">
        <w:t>od</w:t>
      </w:r>
      <w:proofErr w:type="spellEnd"/>
      <w:r w:rsidR="00396F14" w:rsidRPr="00593BFE">
        <w:t xml:space="preserve"> </w:t>
      </w:r>
      <w:proofErr w:type="spellStart"/>
      <w:r w:rsidR="00396F14" w:rsidRPr="00593BFE">
        <w:t>poreza</w:t>
      </w:r>
      <w:proofErr w:type="spellEnd"/>
      <w:r w:rsidR="00396F14" w:rsidRPr="00593BFE">
        <w:t xml:space="preserve"> </w:t>
      </w:r>
      <w:proofErr w:type="spellStart"/>
      <w:r w:rsidR="00396F14" w:rsidRPr="00593BFE">
        <w:t>na</w:t>
      </w:r>
      <w:proofErr w:type="spellEnd"/>
      <w:r w:rsidR="00396F14" w:rsidRPr="00593BFE">
        <w:t xml:space="preserve"> </w:t>
      </w:r>
      <w:proofErr w:type="spellStart"/>
      <w:r w:rsidR="00396F14" w:rsidRPr="00593BFE">
        <w:t>dobit</w:t>
      </w:r>
      <w:proofErr w:type="spellEnd"/>
      <w:r w:rsidR="00396F14" w:rsidRPr="00593BFE">
        <w:t xml:space="preserve"> u </w:t>
      </w:r>
      <w:proofErr w:type="spellStart"/>
      <w:r w:rsidR="00396F14" w:rsidRPr="00593BFE">
        <w:t>odnosu</w:t>
      </w:r>
      <w:proofErr w:type="spellEnd"/>
      <w:r w:rsidR="00396F14" w:rsidRPr="00593BFE">
        <w:t xml:space="preserve"> </w:t>
      </w:r>
      <w:proofErr w:type="spellStart"/>
      <w:r w:rsidR="00396F14" w:rsidRPr="00593BFE">
        <w:t>na</w:t>
      </w:r>
      <w:proofErr w:type="spellEnd"/>
      <w:r w:rsidR="00396F14" w:rsidRPr="00593BFE">
        <w:t xml:space="preserve"> 2022. </w:t>
      </w:r>
      <w:proofErr w:type="spellStart"/>
      <w:proofErr w:type="gramStart"/>
      <w:r w:rsidR="00396F14" w:rsidRPr="00593BFE">
        <w:t>godinu</w:t>
      </w:r>
      <w:proofErr w:type="spellEnd"/>
      <w:proofErr w:type="gramEnd"/>
      <w:r w:rsidR="00396F14" w:rsidRPr="00593BFE">
        <w:t xml:space="preserve"> (3,45% </w:t>
      </w:r>
      <w:proofErr w:type="spellStart"/>
      <w:r w:rsidR="00396F14" w:rsidRPr="00593BFE">
        <w:t>manje</w:t>
      </w:r>
      <w:proofErr w:type="spellEnd"/>
      <w:r w:rsidR="00396F14" w:rsidRPr="00593BFE">
        <w:t>).</w:t>
      </w:r>
      <w:r w:rsidR="0025478D" w:rsidRPr="00593BFE">
        <w:t xml:space="preserve"> </w:t>
      </w:r>
      <w:proofErr w:type="spellStart"/>
      <w:proofErr w:type="gramStart"/>
      <w:r w:rsidR="00396F14" w:rsidRPr="00593BFE">
        <w:t>Osnovne</w:t>
      </w:r>
      <w:proofErr w:type="spellEnd"/>
      <w:r w:rsidR="00396F14" w:rsidRPr="00593BFE">
        <w:t xml:space="preserve"> </w:t>
      </w:r>
      <w:proofErr w:type="spellStart"/>
      <w:r w:rsidR="00396F14" w:rsidRPr="00593BFE">
        <w:t>pretpostavke</w:t>
      </w:r>
      <w:proofErr w:type="spellEnd"/>
      <w:r w:rsidR="00396F14" w:rsidRPr="00593BFE">
        <w:t xml:space="preserve"> za </w:t>
      </w:r>
      <w:proofErr w:type="spellStart"/>
      <w:r w:rsidR="00396F14" w:rsidRPr="00593BFE">
        <w:t>ovakv</w:t>
      </w:r>
      <w:r w:rsidR="00593BFE" w:rsidRPr="00593BFE">
        <w:t>u</w:t>
      </w:r>
      <w:proofErr w:type="spellEnd"/>
      <w:r w:rsidR="00396F14" w:rsidRPr="00593BFE">
        <w:t xml:space="preserve"> </w:t>
      </w:r>
      <w:proofErr w:type="spellStart"/>
      <w:r w:rsidR="00593BFE" w:rsidRPr="00593BFE">
        <w:t>realizaciju</w:t>
      </w:r>
      <w:proofErr w:type="spellEnd"/>
      <w:r w:rsidR="00396F14" w:rsidRPr="00593BFE">
        <w:t xml:space="preserve"> </w:t>
      </w:r>
      <w:proofErr w:type="spellStart"/>
      <w:r w:rsidR="00396F14" w:rsidRPr="00593BFE">
        <w:t>navedenih</w:t>
      </w:r>
      <w:proofErr w:type="spellEnd"/>
      <w:r w:rsidR="00396F14" w:rsidRPr="00593BFE">
        <w:t xml:space="preserve"> </w:t>
      </w:r>
      <w:proofErr w:type="spellStart"/>
      <w:r w:rsidR="00396F14" w:rsidRPr="00593BFE">
        <w:t>prihoda</w:t>
      </w:r>
      <w:proofErr w:type="spellEnd"/>
      <w:r w:rsidR="00396F14" w:rsidRPr="00593BFE">
        <w:t xml:space="preserve"> </w:t>
      </w:r>
      <w:proofErr w:type="spellStart"/>
      <w:r w:rsidR="00593BFE" w:rsidRPr="00593BFE">
        <w:t>su</w:t>
      </w:r>
      <w:proofErr w:type="spellEnd"/>
      <w:r w:rsidR="00593BFE" w:rsidRPr="00593BFE">
        <w:t xml:space="preserve"> </w:t>
      </w:r>
      <w:proofErr w:type="spellStart"/>
      <w:r w:rsidR="00593BFE" w:rsidRPr="00593BFE">
        <w:t>pozitivna</w:t>
      </w:r>
      <w:proofErr w:type="spellEnd"/>
      <w:r w:rsidR="00593BFE" w:rsidRPr="00593BFE">
        <w:t xml:space="preserve"> </w:t>
      </w:r>
      <w:proofErr w:type="spellStart"/>
      <w:r w:rsidR="00593BFE" w:rsidRPr="00593BFE">
        <w:t>makroekonomska</w:t>
      </w:r>
      <w:proofErr w:type="spellEnd"/>
      <w:r w:rsidR="00593BFE" w:rsidRPr="00593BFE">
        <w:t xml:space="preserve"> </w:t>
      </w:r>
      <w:proofErr w:type="spellStart"/>
      <w:r w:rsidR="00593BFE" w:rsidRPr="00593BFE">
        <w:t>kretanja</w:t>
      </w:r>
      <w:proofErr w:type="spellEnd"/>
      <w:r w:rsidR="00593BFE" w:rsidRPr="00593BFE">
        <w:t xml:space="preserve"> u </w:t>
      </w:r>
      <w:proofErr w:type="spellStart"/>
      <w:r w:rsidR="00593BFE" w:rsidRPr="00593BFE">
        <w:t>smislu</w:t>
      </w:r>
      <w:proofErr w:type="spellEnd"/>
      <w:r w:rsidR="00593BFE" w:rsidRPr="00593BFE">
        <w:t xml:space="preserve"> </w:t>
      </w:r>
      <w:proofErr w:type="spellStart"/>
      <w:r w:rsidR="00593BFE" w:rsidRPr="00593BFE">
        <w:t>brzine</w:t>
      </w:r>
      <w:proofErr w:type="spellEnd"/>
      <w:r w:rsidR="00593BFE" w:rsidRPr="00593BFE">
        <w:t xml:space="preserve"> </w:t>
      </w:r>
      <w:proofErr w:type="spellStart"/>
      <w:r w:rsidR="00593BFE" w:rsidRPr="00593BFE">
        <w:t>oporavka</w:t>
      </w:r>
      <w:proofErr w:type="spellEnd"/>
      <w:r w:rsidR="00593BFE" w:rsidRPr="00593BFE">
        <w:t xml:space="preserve"> </w:t>
      </w:r>
      <w:proofErr w:type="spellStart"/>
      <w:r w:rsidR="00593BFE" w:rsidRPr="00593BFE">
        <w:t>ekonomije</w:t>
      </w:r>
      <w:proofErr w:type="spellEnd"/>
      <w:r w:rsidR="00593BFE" w:rsidRPr="00593BFE">
        <w:t xml:space="preserve"> </w:t>
      </w:r>
      <w:proofErr w:type="spellStart"/>
      <w:r w:rsidR="00593BFE" w:rsidRPr="00593BFE">
        <w:t>uz</w:t>
      </w:r>
      <w:proofErr w:type="spellEnd"/>
      <w:r w:rsidR="00593BFE" w:rsidRPr="00593BFE">
        <w:t xml:space="preserve"> </w:t>
      </w:r>
      <w:proofErr w:type="spellStart"/>
      <w:r w:rsidR="00593BFE" w:rsidRPr="00593BFE">
        <w:t>umjereni</w:t>
      </w:r>
      <w:proofErr w:type="spellEnd"/>
      <w:r w:rsidR="00593BFE" w:rsidRPr="00593BFE">
        <w:t xml:space="preserve"> </w:t>
      </w:r>
      <w:proofErr w:type="spellStart"/>
      <w:r w:rsidR="00593BFE" w:rsidRPr="00593BFE">
        <w:t>utjecaj</w:t>
      </w:r>
      <w:proofErr w:type="spellEnd"/>
      <w:r w:rsidR="00593BFE" w:rsidRPr="00593BFE">
        <w:t xml:space="preserve"> </w:t>
      </w:r>
      <w:proofErr w:type="spellStart"/>
      <w:r w:rsidR="00593BFE" w:rsidRPr="00593BFE">
        <w:t>pojedinih</w:t>
      </w:r>
      <w:proofErr w:type="spellEnd"/>
      <w:r w:rsidR="00593BFE" w:rsidRPr="00593BFE">
        <w:t xml:space="preserve"> </w:t>
      </w:r>
      <w:proofErr w:type="spellStart"/>
      <w:r w:rsidR="00593BFE" w:rsidRPr="00593BFE">
        <w:t>visokih</w:t>
      </w:r>
      <w:proofErr w:type="spellEnd"/>
      <w:r w:rsidR="00593BFE" w:rsidRPr="00593BFE">
        <w:t xml:space="preserve"> </w:t>
      </w:r>
      <w:proofErr w:type="spellStart"/>
      <w:r w:rsidR="00593BFE" w:rsidRPr="00593BFE">
        <w:t>rizika</w:t>
      </w:r>
      <w:proofErr w:type="spellEnd"/>
      <w:r w:rsidR="00593BFE" w:rsidRPr="00593BFE">
        <w:t>.</w:t>
      </w:r>
      <w:proofErr w:type="gramEnd"/>
      <w:r w:rsidR="00F56F47" w:rsidRPr="00593BFE">
        <w:t xml:space="preserve"> </w:t>
      </w:r>
    </w:p>
    <w:p w:rsidR="0025478D" w:rsidRPr="000908A3" w:rsidRDefault="0025478D" w:rsidP="00BB105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A265D" w:rsidRPr="00593BFE" w:rsidRDefault="00BB1054" w:rsidP="00BB1054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 w:rsidRPr="00593BFE">
        <w:rPr>
          <w:lang w:val="hr-HR"/>
        </w:rPr>
        <w:t xml:space="preserve">Nadalje, očekuje se da će </w:t>
      </w:r>
      <w:r w:rsidR="001A265D" w:rsidRPr="00593BFE">
        <w:rPr>
          <w:lang w:val="hr-HR"/>
        </w:rPr>
        <w:t xml:space="preserve">izvršenje neporeznih prihoda u </w:t>
      </w:r>
      <w:r w:rsidR="00593BFE" w:rsidRPr="00593BFE">
        <w:rPr>
          <w:lang w:val="hr-HR"/>
        </w:rPr>
        <w:t>2023</w:t>
      </w:r>
      <w:r w:rsidR="001A265D" w:rsidRPr="00593BFE">
        <w:rPr>
          <w:lang w:val="hr-HR"/>
        </w:rPr>
        <w:t>.g</w:t>
      </w:r>
      <w:r w:rsidR="008F707B" w:rsidRPr="00593BFE">
        <w:rPr>
          <w:lang w:val="hr-HR"/>
        </w:rPr>
        <w:t>.</w:t>
      </w:r>
      <w:r w:rsidR="001A265D" w:rsidRPr="00593BFE">
        <w:rPr>
          <w:lang w:val="hr-HR"/>
        </w:rPr>
        <w:t xml:space="preserve"> </w:t>
      </w:r>
      <w:r w:rsidRPr="00593BFE">
        <w:rPr>
          <w:lang w:val="hr-HR"/>
        </w:rPr>
        <w:t xml:space="preserve">ići u smjeru blagog povećanja u odnosu na </w:t>
      </w:r>
      <w:r w:rsidR="00593BFE" w:rsidRPr="00593BFE">
        <w:rPr>
          <w:lang w:val="hr-HR"/>
        </w:rPr>
        <w:t>2022</w:t>
      </w:r>
      <w:r w:rsidRPr="00593BFE">
        <w:rPr>
          <w:lang w:val="hr-HR"/>
        </w:rPr>
        <w:t>. godinu</w:t>
      </w:r>
      <w:r w:rsidR="001A265D" w:rsidRPr="00593BFE">
        <w:rPr>
          <w:lang w:val="hr-HR"/>
        </w:rPr>
        <w:t xml:space="preserve">, pri čemu je važno naglasiti da će realizacija namjenskih neporeznih prihoda (prihodi od korištenja poljoprivrednog zemljišta u nepoljoprivredne svrhe, vodne naknade, cestovne naknade i dr.) ovisiti </w:t>
      </w:r>
      <w:r w:rsidR="00F56F47" w:rsidRPr="00593BFE">
        <w:rPr>
          <w:lang w:val="hr-HR"/>
        </w:rPr>
        <w:t xml:space="preserve">i </w:t>
      </w:r>
      <w:r w:rsidR="001A265D" w:rsidRPr="00593BFE">
        <w:rPr>
          <w:lang w:val="hr-HR"/>
        </w:rPr>
        <w:t>o njihovoj namjenskoj potrošnji (</w:t>
      </w:r>
      <w:proofErr w:type="spellStart"/>
      <w:r w:rsidR="001A265D" w:rsidRPr="00593BFE">
        <w:rPr>
          <w:lang w:val="hr-HR"/>
        </w:rPr>
        <w:t>grantovskoj</w:t>
      </w:r>
      <w:proofErr w:type="spellEnd"/>
      <w:r w:rsidR="00144EC7" w:rsidRPr="00593BFE">
        <w:rPr>
          <w:lang w:val="hr-HR"/>
        </w:rPr>
        <w:t xml:space="preserve"> i kapitalnoj</w:t>
      </w:r>
      <w:r w:rsidR="001A265D" w:rsidRPr="00593BFE">
        <w:rPr>
          <w:lang w:val="hr-HR"/>
        </w:rPr>
        <w:t>).</w:t>
      </w:r>
    </w:p>
    <w:p w:rsidR="001A265D" w:rsidRPr="000908A3" w:rsidRDefault="001A265D" w:rsidP="00386FBA">
      <w:pPr>
        <w:ind w:firstLine="708"/>
        <w:jc w:val="both"/>
        <w:rPr>
          <w:sz w:val="16"/>
          <w:szCs w:val="16"/>
          <w:highlight w:val="yellow"/>
          <w:lang w:val="hr-HR"/>
        </w:rPr>
      </w:pPr>
    </w:p>
    <w:p w:rsidR="00BB1054" w:rsidRPr="00593BFE" w:rsidRDefault="001A265D" w:rsidP="00386FBA">
      <w:pPr>
        <w:pStyle w:val="Uvuenotijeloteksta"/>
        <w:rPr>
          <w:spacing w:val="0"/>
          <w:szCs w:val="20"/>
        </w:rPr>
      </w:pPr>
      <w:r w:rsidRPr="00593BFE">
        <w:rPr>
          <w:spacing w:val="0"/>
          <w:szCs w:val="20"/>
        </w:rPr>
        <w:t>Ministarstvo financija, na osnovi analize</w:t>
      </w:r>
      <w:r w:rsidR="00593BFE" w:rsidRPr="00593BFE">
        <w:rPr>
          <w:spacing w:val="0"/>
          <w:szCs w:val="20"/>
        </w:rPr>
        <w:t xml:space="preserve"> dostupnih podataka</w:t>
      </w:r>
      <w:r w:rsidRPr="00593BFE">
        <w:rPr>
          <w:spacing w:val="0"/>
          <w:szCs w:val="20"/>
        </w:rPr>
        <w:t xml:space="preserve">, predviđa da će projicirani prihodi Proračuna Županije Posavske za </w:t>
      </w:r>
      <w:r w:rsidR="00593BFE" w:rsidRPr="00593BFE">
        <w:rPr>
          <w:spacing w:val="0"/>
          <w:szCs w:val="20"/>
        </w:rPr>
        <w:t>2023</w:t>
      </w:r>
      <w:r w:rsidRPr="00593BFE">
        <w:rPr>
          <w:spacing w:val="0"/>
          <w:szCs w:val="20"/>
        </w:rPr>
        <w:t>.g</w:t>
      </w:r>
      <w:r w:rsidR="008F707B" w:rsidRPr="00593BFE">
        <w:rPr>
          <w:spacing w:val="0"/>
          <w:szCs w:val="20"/>
        </w:rPr>
        <w:t>.</w:t>
      </w:r>
      <w:r w:rsidRPr="00593BFE">
        <w:rPr>
          <w:spacing w:val="0"/>
          <w:szCs w:val="20"/>
        </w:rPr>
        <w:t xml:space="preserve"> </w:t>
      </w:r>
      <w:r w:rsidR="0097653D" w:rsidRPr="00593BFE">
        <w:rPr>
          <w:spacing w:val="0"/>
          <w:szCs w:val="20"/>
        </w:rPr>
        <w:t>(</w:t>
      </w:r>
      <w:r w:rsidR="00DD621E" w:rsidRPr="00593BFE">
        <w:rPr>
          <w:spacing w:val="0"/>
          <w:szCs w:val="20"/>
        </w:rPr>
        <w:t>proračunski</w:t>
      </w:r>
      <w:r w:rsidR="0097653D" w:rsidRPr="00593BFE">
        <w:rPr>
          <w:spacing w:val="0"/>
          <w:szCs w:val="20"/>
        </w:rPr>
        <w:t xml:space="preserve"> prihodi)</w:t>
      </w:r>
      <w:r w:rsidR="00DD621E" w:rsidRPr="00593BFE">
        <w:rPr>
          <w:spacing w:val="0"/>
          <w:szCs w:val="20"/>
        </w:rPr>
        <w:t xml:space="preserve"> </w:t>
      </w:r>
      <w:r w:rsidRPr="00593BFE">
        <w:rPr>
          <w:spacing w:val="0"/>
          <w:szCs w:val="20"/>
        </w:rPr>
        <w:t xml:space="preserve">iznositi </w:t>
      </w:r>
      <w:r w:rsidR="00C27C59" w:rsidRPr="00593BFE">
        <w:rPr>
          <w:spacing w:val="0"/>
          <w:szCs w:val="20"/>
        </w:rPr>
        <w:t xml:space="preserve">oko </w:t>
      </w:r>
      <w:r w:rsidR="00593BFE" w:rsidRPr="00593BFE">
        <w:rPr>
          <w:spacing w:val="0"/>
          <w:szCs w:val="20"/>
        </w:rPr>
        <w:t>49,4</w:t>
      </w:r>
      <w:r w:rsidR="00B80842" w:rsidRPr="00593BFE">
        <w:rPr>
          <w:spacing w:val="0"/>
          <w:szCs w:val="20"/>
        </w:rPr>
        <w:t xml:space="preserve"> milijuna</w:t>
      </w:r>
      <w:r w:rsidRPr="00593BFE">
        <w:rPr>
          <w:spacing w:val="0"/>
          <w:szCs w:val="20"/>
        </w:rPr>
        <w:t xml:space="preserve"> KM (bez</w:t>
      </w:r>
      <w:r w:rsidR="0097653D" w:rsidRPr="00593BFE">
        <w:rPr>
          <w:spacing w:val="0"/>
          <w:szCs w:val="20"/>
        </w:rPr>
        <w:t xml:space="preserve"> namjenskih prihoda, namjenskih</w:t>
      </w:r>
      <w:r w:rsidRPr="00593BFE">
        <w:rPr>
          <w:spacing w:val="0"/>
          <w:szCs w:val="20"/>
        </w:rPr>
        <w:t xml:space="preserve"> tekućih i kapitalnih potpora koje su neizvjesne</w:t>
      </w:r>
      <w:r w:rsidR="00C27C59" w:rsidRPr="00593BFE">
        <w:rPr>
          <w:spacing w:val="0"/>
          <w:szCs w:val="20"/>
        </w:rPr>
        <w:t>,</w:t>
      </w:r>
      <w:r w:rsidRPr="00593BFE">
        <w:rPr>
          <w:spacing w:val="0"/>
          <w:szCs w:val="20"/>
        </w:rPr>
        <w:t xml:space="preserve"> </w:t>
      </w:r>
      <w:r w:rsidR="0097653D" w:rsidRPr="00593BFE">
        <w:rPr>
          <w:spacing w:val="0"/>
          <w:szCs w:val="20"/>
        </w:rPr>
        <w:t>i</w:t>
      </w:r>
      <w:r w:rsidRPr="00593BFE">
        <w:rPr>
          <w:spacing w:val="0"/>
          <w:szCs w:val="20"/>
        </w:rPr>
        <w:t xml:space="preserve"> kapitalnih primitaka)</w:t>
      </w:r>
      <w:r w:rsidR="00B73903">
        <w:rPr>
          <w:spacing w:val="0"/>
          <w:szCs w:val="20"/>
        </w:rPr>
        <w:t>.</w:t>
      </w:r>
      <w:r w:rsidRPr="00593BFE">
        <w:rPr>
          <w:spacing w:val="0"/>
          <w:szCs w:val="20"/>
        </w:rPr>
        <w:t xml:space="preserve"> Dakle, procjenjuje se da </w:t>
      </w:r>
      <w:r w:rsidR="00BB1054" w:rsidRPr="00593BFE">
        <w:rPr>
          <w:spacing w:val="0"/>
          <w:szCs w:val="20"/>
        </w:rPr>
        <w:t>će</w:t>
      </w:r>
      <w:r w:rsidRPr="00593BFE">
        <w:rPr>
          <w:spacing w:val="0"/>
          <w:szCs w:val="20"/>
        </w:rPr>
        <w:t xml:space="preserve"> proračunski okvir </w:t>
      </w:r>
      <w:r w:rsidR="00BB1054" w:rsidRPr="00593BFE">
        <w:rPr>
          <w:spacing w:val="0"/>
          <w:szCs w:val="20"/>
        </w:rPr>
        <w:t xml:space="preserve">(iz proračunskih prihoda) </w:t>
      </w:r>
      <w:r w:rsidRPr="00593BFE">
        <w:rPr>
          <w:spacing w:val="0"/>
          <w:szCs w:val="20"/>
        </w:rPr>
        <w:t xml:space="preserve">za </w:t>
      </w:r>
      <w:r w:rsidR="00593BFE" w:rsidRPr="00593BFE">
        <w:rPr>
          <w:spacing w:val="0"/>
          <w:szCs w:val="20"/>
        </w:rPr>
        <w:t>2023</w:t>
      </w:r>
      <w:r w:rsidRPr="00593BFE">
        <w:rPr>
          <w:spacing w:val="0"/>
          <w:szCs w:val="20"/>
        </w:rPr>
        <w:t>.g</w:t>
      </w:r>
      <w:r w:rsidR="008F707B" w:rsidRPr="00593BFE">
        <w:rPr>
          <w:spacing w:val="0"/>
          <w:szCs w:val="20"/>
        </w:rPr>
        <w:t>.</w:t>
      </w:r>
      <w:r w:rsidRPr="00593BFE">
        <w:rPr>
          <w:spacing w:val="0"/>
          <w:szCs w:val="20"/>
        </w:rPr>
        <w:t xml:space="preserve"> </w:t>
      </w:r>
      <w:r w:rsidR="00BB1054" w:rsidRPr="00593BFE">
        <w:rPr>
          <w:spacing w:val="0"/>
          <w:szCs w:val="20"/>
        </w:rPr>
        <w:t xml:space="preserve">biti nešto veći od okvira za </w:t>
      </w:r>
      <w:r w:rsidR="00593BFE" w:rsidRPr="00593BFE">
        <w:rPr>
          <w:spacing w:val="0"/>
          <w:szCs w:val="20"/>
        </w:rPr>
        <w:t>2022</w:t>
      </w:r>
      <w:r w:rsidR="00BB1054" w:rsidRPr="00593BFE">
        <w:rPr>
          <w:spacing w:val="0"/>
          <w:szCs w:val="20"/>
        </w:rPr>
        <w:t>. godinu utvrđenog Proračun</w:t>
      </w:r>
      <w:r w:rsidR="00F56F47" w:rsidRPr="00593BFE">
        <w:rPr>
          <w:spacing w:val="0"/>
          <w:szCs w:val="20"/>
        </w:rPr>
        <w:t>om</w:t>
      </w:r>
      <w:r w:rsidR="00BB1054" w:rsidRPr="00593BFE">
        <w:rPr>
          <w:spacing w:val="0"/>
          <w:szCs w:val="20"/>
        </w:rPr>
        <w:t xml:space="preserve"> Županije Posavske za </w:t>
      </w:r>
      <w:r w:rsidR="00593BFE" w:rsidRPr="00593BFE">
        <w:rPr>
          <w:spacing w:val="0"/>
          <w:szCs w:val="20"/>
        </w:rPr>
        <w:t>2022</w:t>
      </w:r>
      <w:r w:rsidR="00BB1054" w:rsidRPr="00593BFE">
        <w:rPr>
          <w:spacing w:val="0"/>
          <w:szCs w:val="20"/>
        </w:rPr>
        <w:t xml:space="preserve">. godinu. Iz navedenog slijedi da se u </w:t>
      </w:r>
      <w:r w:rsidR="00593BFE" w:rsidRPr="00593BFE">
        <w:rPr>
          <w:spacing w:val="0"/>
          <w:szCs w:val="20"/>
        </w:rPr>
        <w:t>2023</w:t>
      </w:r>
      <w:r w:rsidR="00BB1054" w:rsidRPr="00593BFE">
        <w:rPr>
          <w:spacing w:val="0"/>
          <w:szCs w:val="20"/>
        </w:rPr>
        <w:t>. godinu ne mogu planirati značajna povećanja pojedinih rashodovnih pozicija, osim ako ista nisu opravdana objektivnim smanjenjem drugih rashoda.</w:t>
      </w:r>
    </w:p>
    <w:p w:rsidR="003C794E" w:rsidRPr="000908A3" w:rsidRDefault="003C794E" w:rsidP="00386FBA">
      <w:pPr>
        <w:pStyle w:val="Uvuenotijeloteksta"/>
        <w:rPr>
          <w:spacing w:val="0"/>
          <w:szCs w:val="20"/>
          <w:highlight w:val="yellow"/>
        </w:rPr>
      </w:pPr>
    </w:p>
    <w:p w:rsidR="001A265D" w:rsidRDefault="00BB1054" w:rsidP="00386FBA">
      <w:pPr>
        <w:pStyle w:val="Uvuenotijeloteksta"/>
        <w:rPr>
          <w:spacing w:val="0"/>
          <w:szCs w:val="20"/>
        </w:rPr>
      </w:pPr>
      <w:r w:rsidRPr="00593BFE">
        <w:rPr>
          <w:spacing w:val="0"/>
          <w:szCs w:val="20"/>
        </w:rPr>
        <w:t>U</w:t>
      </w:r>
      <w:r w:rsidR="001A265D" w:rsidRPr="00593BFE">
        <w:rPr>
          <w:spacing w:val="0"/>
          <w:szCs w:val="20"/>
        </w:rPr>
        <w:t xml:space="preserve">tvrđuje </w:t>
      </w:r>
      <w:r w:rsidRPr="00593BFE">
        <w:rPr>
          <w:spacing w:val="0"/>
          <w:szCs w:val="20"/>
        </w:rPr>
        <w:t xml:space="preserve">se </w:t>
      </w:r>
      <w:r w:rsidR="001A265D" w:rsidRPr="00593BFE">
        <w:rPr>
          <w:spacing w:val="0"/>
          <w:szCs w:val="20"/>
        </w:rPr>
        <w:t xml:space="preserve">gornja granica proračunske potrošnje za </w:t>
      </w:r>
      <w:r w:rsidR="00593BFE" w:rsidRPr="00593BFE">
        <w:rPr>
          <w:spacing w:val="0"/>
          <w:szCs w:val="20"/>
        </w:rPr>
        <w:t>2023</w:t>
      </w:r>
      <w:r w:rsidR="001A265D" w:rsidRPr="00593BFE">
        <w:rPr>
          <w:spacing w:val="0"/>
          <w:szCs w:val="20"/>
        </w:rPr>
        <w:t>.g</w:t>
      </w:r>
      <w:r w:rsidR="008F707B" w:rsidRPr="00593BFE">
        <w:rPr>
          <w:spacing w:val="0"/>
          <w:szCs w:val="20"/>
        </w:rPr>
        <w:t>.</w:t>
      </w:r>
      <w:r w:rsidR="001A265D" w:rsidRPr="00593BFE">
        <w:rPr>
          <w:spacing w:val="0"/>
          <w:szCs w:val="20"/>
        </w:rPr>
        <w:t xml:space="preserve"> </w:t>
      </w:r>
      <w:r w:rsidRPr="00593BFE">
        <w:rPr>
          <w:spacing w:val="0"/>
          <w:szCs w:val="20"/>
        </w:rPr>
        <w:t xml:space="preserve">iz proračunskih prihoda </w:t>
      </w:r>
      <w:r w:rsidR="001A265D" w:rsidRPr="00593BFE">
        <w:rPr>
          <w:spacing w:val="0"/>
          <w:szCs w:val="20"/>
        </w:rPr>
        <w:t xml:space="preserve">u ukupnom iznosu od </w:t>
      </w:r>
      <w:r w:rsidR="00593BFE" w:rsidRPr="00593BFE">
        <w:rPr>
          <w:spacing w:val="0"/>
          <w:szCs w:val="20"/>
        </w:rPr>
        <w:t>49.394.290</w:t>
      </w:r>
      <w:r w:rsidR="001A265D" w:rsidRPr="00593BFE">
        <w:rPr>
          <w:spacing w:val="0"/>
          <w:szCs w:val="20"/>
        </w:rPr>
        <w:t xml:space="preserve"> KM. Dakle, u usporedbi s Proračunom Županije Posavske za </w:t>
      </w:r>
      <w:r w:rsidR="00593BFE" w:rsidRPr="00593BFE">
        <w:rPr>
          <w:spacing w:val="0"/>
          <w:szCs w:val="20"/>
        </w:rPr>
        <w:t>2022</w:t>
      </w:r>
      <w:r w:rsidR="001A265D" w:rsidRPr="00593BFE">
        <w:rPr>
          <w:spacing w:val="0"/>
          <w:szCs w:val="20"/>
        </w:rPr>
        <w:t>.g</w:t>
      </w:r>
      <w:r w:rsidR="008F707B" w:rsidRPr="00593BFE">
        <w:rPr>
          <w:spacing w:val="0"/>
          <w:szCs w:val="20"/>
        </w:rPr>
        <w:t>.</w:t>
      </w:r>
      <w:r w:rsidR="001A265D" w:rsidRPr="00593BFE">
        <w:rPr>
          <w:spacing w:val="0"/>
          <w:szCs w:val="20"/>
        </w:rPr>
        <w:t xml:space="preserve">, prema kojemu su rashodi i izdaci Proračuna </w:t>
      </w:r>
      <w:r w:rsidR="0097653D" w:rsidRPr="00593BFE">
        <w:rPr>
          <w:spacing w:val="0"/>
          <w:szCs w:val="20"/>
        </w:rPr>
        <w:t xml:space="preserve">iz proračunskih prihoda </w:t>
      </w:r>
      <w:r w:rsidR="001A265D" w:rsidRPr="00593BFE">
        <w:rPr>
          <w:spacing w:val="0"/>
          <w:szCs w:val="20"/>
        </w:rPr>
        <w:t xml:space="preserve">planirani u iznosu od </w:t>
      </w:r>
      <w:r w:rsidR="00593BFE" w:rsidRPr="00593BFE">
        <w:rPr>
          <w:spacing w:val="0"/>
          <w:szCs w:val="20"/>
        </w:rPr>
        <w:t>49.100.195</w:t>
      </w:r>
      <w:r w:rsidR="001A265D" w:rsidRPr="00593BFE">
        <w:rPr>
          <w:spacing w:val="0"/>
          <w:szCs w:val="20"/>
        </w:rPr>
        <w:t xml:space="preserve"> KM, planira se </w:t>
      </w:r>
      <w:r w:rsidR="004655EE" w:rsidRPr="00593BFE">
        <w:rPr>
          <w:spacing w:val="0"/>
          <w:szCs w:val="20"/>
        </w:rPr>
        <w:t>povećanje</w:t>
      </w:r>
      <w:r w:rsidR="001A265D" w:rsidRPr="00593BFE">
        <w:rPr>
          <w:spacing w:val="0"/>
          <w:szCs w:val="20"/>
        </w:rPr>
        <w:t xml:space="preserve"> proračunske potrošnje za </w:t>
      </w:r>
      <w:r w:rsidR="00593BFE" w:rsidRPr="00593BFE">
        <w:rPr>
          <w:spacing w:val="0"/>
          <w:szCs w:val="20"/>
        </w:rPr>
        <w:t>0,60</w:t>
      </w:r>
      <w:r w:rsidR="0097653D" w:rsidRPr="00593BFE">
        <w:rPr>
          <w:spacing w:val="0"/>
          <w:szCs w:val="20"/>
        </w:rPr>
        <w:t>%</w:t>
      </w:r>
      <w:r w:rsidR="00F56F47" w:rsidRPr="00593BFE">
        <w:rPr>
          <w:spacing w:val="0"/>
          <w:szCs w:val="20"/>
        </w:rPr>
        <w:t xml:space="preserve"> ili za </w:t>
      </w:r>
      <w:r w:rsidR="00593BFE" w:rsidRPr="00593BFE">
        <w:rPr>
          <w:spacing w:val="0"/>
          <w:szCs w:val="20"/>
        </w:rPr>
        <w:t>294.095</w:t>
      </w:r>
      <w:r w:rsidR="00F56F47" w:rsidRPr="00593BFE">
        <w:rPr>
          <w:spacing w:val="0"/>
          <w:szCs w:val="20"/>
        </w:rPr>
        <w:t xml:space="preserve"> KM</w:t>
      </w:r>
      <w:r w:rsidR="001A265D" w:rsidRPr="00593BFE">
        <w:rPr>
          <w:spacing w:val="0"/>
          <w:szCs w:val="20"/>
        </w:rPr>
        <w:t>.</w:t>
      </w:r>
    </w:p>
    <w:p w:rsidR="001A265D" w:rsidRDefault="001A265D" w:rsidP="00386FBA">
      <w:pPr>
        <w:ind w:firstLine="708"/>
        <w:jc w:val="both"/>
        <w:rPr>
          <w:szCs w:val="20"/>
          <w:lang w:val="hr-HR"/>
        </w:rPr>
      </w:pPr>
    </w:p>
    <w:p w:rsidR="001A265D" w:rsidRDefault="001A265D" w:rsidP="00386FBA">
      <w:pPr>
        <w:pStyle w:val="Naslov4"/>
        <w:rPr>
          <w:spacing w:val="0"/>
          <w:szCs w:val="20"/>
        </w:rPr>
      </w:pPr>
      <w:r>
        <w:rPr>
          <w:spacing w:val="0"/>
          <w:szCs w:val="20"/>
        </w:rPr>
        <w:t>Smjernice za izradu proračunskih zahtjeva</w:t>
      </w:r>
    </w:p>
    <w:p w:rsidR="001A265D" w:rsidRPr="00E8539F" w:rsidRDefault="001A265D" w:rsidP="00386FBA">
      <w:pPr>
        <w:ind w:firstLine="708"/>
        <w:jc w:val="both"/>
        <w:rPr>
          <w:sz w:val="16"/>
          <w:szCs w:val="16"/>
          <w:lang w:val="hr-HR"/>
        </w:rPr>
      </w:pPr>
    </w:p>
    <w:p w:rsidR="001A265D" w:rsidRDefault="001A265D" w:rsidP="00386FBA">
      <w:pPr>
        <w:ind w:firstLine="708"/>
        <w:jc w:val="both"/>
        <w:rPr>
          <w:spacing w:val="-2"/>
          <w:lang w:val="hr-BA"/>
        </w:rPr>
      </w:pPr>
      <w:r>
        <w:rPr>
          <w:szCs w:val="20"/>
          <w:lang w:val="hr-HR"/>
        </w:rPr>
        <w:t xml:space="preserve">Slijedom navedenih smjernica ekonomske i fiskalne politike i procjene kretanja prihoda Proračuna Županije Posavske, Ministarstvo financija Vam sugerira da se </w:t>
      </w:r>
      <w:r>
        <w:rPr>
          <w:lang w:val="hr-HR"/>
        </w:rPr>
        <w:t xml:space="preserve">pri izradi Vaših zahtjeva za </w:t>
      </w:r>
      <w:r w:rsidR="000908A3">
        <w:rPr>
          <w:lang w:val="hr-HR"/>
        </w:rPr>
        <w:t>2023</w:t>
      </w:r>
      <w:r>
        <w:rPr>
          <w:lang w:val="hr-HR"/>
        </w:rPr>
        <w:t xml:space="preserve">. godinu </w:t>
      </w:r>
      <w:r>
        <w:rPr>
          <w:lang w:val="hr-BA"/>
        </w:rPr>
        <w:t>pridržavate slijedećih uputa:</w:t>
      </w:r>
    </w:p>
    <w:p w:rsidR="001A265D" w:rsidRDefault="001A265D" w:rsidP="00386FBA">
      <w:pPr>
        <w:numPr>
          <w:ilvl w:val="0"/>
          <w:numId w:val="2"/>
        </w:numPr>
        <w:jc w:val="both"/>
        <w:rPr>
          <w:lang w:val="hr-HR"/>
        </w:rPr>
      </w:pPr>
      <w:r>
        <w:rPr>
          <w:b/>
          <w:bCs/>
          <w:lang w:val="hr-HR"/>
        </w:rPr>
        <w:t xml:space="preserve">Izdatke za Bruto plaće i naknade plaća </w:t>
      </w:r>
      <w:r>
        <w:rPr>
          <w:lang w:val="hr-HR"/>
        </w:rPr>
        <w:t>(ekonomski kod 611100)</w:t>
      </w:r>
      <w:r>
        <w:rPr>
          <w:b/>
          <w:bCs/>
          <w:lang w:val="hr-HR"/>
        </w:rPr>
        <w:t xml:space="preserve">, Naknade troškova zaposlenih </w:t>
      </w:r>
      <w:r>
        <w:rPr>
          <w:lang w:val="hr-HR"/>
        </w:rPr>
        <w:t>(ekonomski kod 611200)</w:t>
      </w:r>
      <w:r>
        <w:rPr>
          <w:b/>
          <w:bCs/>
          <w:lang w:val="hr-HR"/>
        </w:rPr>
        <w:t xml:space="preserve"> te Doprinose poslodavca </w:t>
      </w:r>
      <w:r>
        <w:rPr>
          <w:lang w:val="hr-HR"/>
        </w:rPr>
        <w:t xml:space="preserve">(ekonomski kod 612100) planirati  na osnovi postojećih zakonskih rješenja koji reguliraju ovu oblast. </w:t>
      </w:r>
      <w:proofErr w:type="spellStart"/>
      <w:r>
        <w:t>Tražena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uspoređena</w:t>
      </w:r>
      <w:proofErr w:type="spellEnd"/>
      <w:r>
        <w:t xml:space="preserve"> s </w:t>
      </w:r>
      <w:proofErr w:type="spellStart"/>
      <w:r>
        <w:t>izračunom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Ministarstvo </w:t>
      </w:r>
      <w:proofErr w:type="spellStart"/>
      <w:r>
        <w:t>financija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 w:rsidRPr="00B73903">
        <w:lastRenderedPageBreak/>
        <w:t>na</w:t>
      </w:r>
      <w:proofErr w:type="spellEnd"/>
      <w:r w:rsidRPr="00B73903">
        <w:t xml:space="preserve"> </w:t>
      </w:r>
      <w:proofErr w:type="spellStart"/>
      <w:r w:rsidRPr="00B73903">
        <w:t>osnovi</w:t>
      </w:r>
      <w:proofErr w:type="spellEnd"/>
      <w:r w:rsidRPr="00B73903">
        <w:t xml:space="preserve"> </w:t>
      </w:r>
      <w:proofErr w:type="spellStart"/>
      <w:r w:rsidRPr="00B73903">
        <w:t>podataka</w:t>
      </w:r>
      <w:proofErr w:type="spellEnd"/>
      <w:r w:rsidRPr="00B73903">
        <w:t xml:space="preserve"> </w:t>
      </w:r>
      <w:proofErr w:type="spellStart"/>
      <w:r w:rsidRPr="00B73903">
        <w:t>kojima</w:t>
      </w:r>
      <w:proofErr w:type="spellEnd"/>
      <w:r w:rsidRPr="00B73903">
        <w:t xml:space="preserve"> </w:t>
      </w:r>
      <w:proofErr w:type="spellStart"/>
      <w:r w:rsidRPr="00B73903">
        <w:t>raspolaže</w:t>
      </w:r>
      <w:proofErr w:type="spellEnd"/>
      <w:r w:rsidRPr="00B73903">
        <w:t xml:space="preserve">. </w:t>
      </w:r>
      <w:r w:rsidRPr="00B73903">
        <w:rPr>
          <w:lang w:val="hr-HR"/>
        </w:rPr>
        <w:t>Za svako povećanje broja zaposlenih dužni ste u</w:t>
      </w:r>
      <w:r>
        <w:rPr>
          <w:lang w:val="hr-HR"/>
        </w:rPr>
        <w:t xml:space="preserve"> obrazloženju navesti datum i broj dobivene suglasnosti Vlade ŽP za novo upošljavanje. Ukoliko isto ne postoji zahtjev za povećanjem broja zaposlenih se neće uvažiti. Pri izračunu bruto plaća, naknada troškova zaposlenih i doprinosa poslodavca potrebno je osobito koristiti slijedeće podatke: </w:t>
      </w:r>
    </w:p>
    <w:p w:rsidR="00B73903" w:rsidRDefault="00B73903" w:rsidP="00386FBA">
      <w:pPr>
        <w:pStyle w:val="Tijeloteksta-uvlaka3"/>
        <w:numPr>
          <w:ilvl w:val="2"/>
          <w:numId w:val="2"/>
        </w:numPr>
        <w:spacing w:before="0"/>
        <w:ind w:left="2154" w:hanging="357"/>
      </w:pPr>
      <w:r>
        <w:t xml:space="preserve">prosječna mjesečna neto plaća u Federaciji BiH za </w:t>
      </w:r>
      <w:r w:rsidR="00252832">
        <w:t>lipanj</w:t>
      </w:r>
      <w:r>
        <w:t xml:space="preserve"> 2022. godine iznosi </w:t>
      </w:r>
      <w:r w:rsidR="00252832">
        <w:t>1.115</w:t>
      </w:r>
      <w:r>
        <w:t xml:space="preserve"> KM,</w:t>
      </w:r>
    </w:p>
    <w:p w:rsidR="001A265D" w:rsidRPr="00B73903" w:rsidRDefault="00D13CD7" w:rsidP="00386FBA">
      <w:pPr>
        <w:pStyle w:val="Tijeloteksta-uvlaka3"/>
        <w:numPr>
          <w:ilvl w:val="2"/>
          <w:numId w:val="2"/>
        </w:numPr>
        <w:spacing w:before="0"/>
        <w:ind w:left="2154" w:hanging="357"/>
      </w:pPr>
      <w:r>
        <w:t xml:space="preserve">sukladno Sporazumu o osnovici za obračun plaća uposlenika korisnika Proračuna ŽP od 09.06.2022. godine </w:t>
      </w:r>
      <w:r w:rsidR="001A265D" w:rsidRPr="0083716C">
        <w:t>osnovica za obračun plaća od 01.</w:t>
      </w:r>
      <w:r>
        <w:t>01</w:t>
      </w:r>
      <w:r w:rsidR="0083716C" w:rsidRPr="0083716C">
        <w:t>.</w:t>
      </w:r>
      <w:r w:rsidR="000908A3">
        <w:t>202</w:t>
      </w:r>
      <w:r>
        <w:t>3</w:t>
      </w:r>
      <w:r w:rsidR="001A265D" w:rsidRPr="0083716C">
        <w:t>.g</w:t>
      </w:r>
      <w:r w:rsidR="008F707B" w:rsidRPr="0083716C">
        <w:t>.</w:t>
      </w:r>
      <w:r w:rsidR="001A265D" w:rsidRPr="0083716C">
        <w:t xml:space="preserve"> iznosi </w:t>
      </w:r>
      <w:r>
        <w:t>143</w:t>
      </w:r>
      <w:r w:rsidR="00855E82" w:rsidRPr="0083716C">
        <w:t>,</w:t>
      </w:r>
      <w:r w:rsidR="00C12F36" w:rsidRPr="0083716C">
        <w:t>0</w:t>
      </w:r>
      <w:r w:rsidR="00E8539F" w:rsidRPr="0083716C">
        <w:t>0</w:t>
      </w:r>
      <w:r w:rsidR="001A265D" w:rsidRPr="0083716C">
        <w:t xml:space="preserve"> KM </w:t>
      </w:r>
      <w:r w:rsidR="00772A4C" w:rsidRPr="0083716C">
        <w:t xml:space="preserve">(osim za suce, tužitelje i </w:t>
      </w:r>
      <w:proofErr w:type="spellStart"/>
      <w:r w:rsidR="00772A4C" w:rsidRPr="0083716C">
        <w:t>str</w:t>
      </w:r>
      <w:r w:rsidR="008F707B" w:rsidRPr="0083716C">
        <w:t>.</w:t>
      </w:r>
      <w:r w:rsidR="00772A4C" w:rsidRPr="0083716C">
        <w:t>suradn</w:t>
      </w:r>
      <w:r w:rsidR="008F707B" w:rsidRPr="0083716C">
        <w:t>ike</w:t>
      </w:r>
      <w:proofErr w:type="spellEnd"/>
      <w:r w:rsidR="008F707B" w:rsidRPr="0083716C">
        <w:t xml:space="preserve"> </w:t>
      </w:r>
      <w:r w:rsidR="00772A4C" w:rsidRPr="0083716C">
        <w:t>u pravosuđu</w:t>
      </w:r>
      <w:r w:rsidR="00B73903">
        <w:t xml:space="preserve"> na koje se primjenjuju odredbe </w:t>
      </w:r>
      <w:r w:rsidR="00B73903" w:rsidRPr="00B95F91">
        <w:t>Zakona o plaćama i drugim naknadama sudaca i tužitelja u</w:t>
      </w:r>
      <w:r w:rsidR="00B73903">
        <w:t xml:space="preserve"> Federaciji </w:t>
      </w:r>
      <w:r w:rsidR="00B73903" w:rsidRPr="00B73903">
        <w:t>Bosne i Hercegovine)</w:t>
      </w:r>
      <w:r w:rsidR="001A265D" w:rsidRPr="00B73903">
        <w:t xml:space="preserve">, </w:t>
      </w:r>
    </w:p>
    <w:p w:rsidR="001A265D" w:rsidRPr="00B73903" w:rsidRDefault="001A265D" w:rsidP="00386FBA">
      <w:pPr>
        <w:numPr>
          <w:ilvl w:val="2"/>
          <w:numId w:val="2"/>
        </w:numPr>
        <w:ind w:left="2154" w:hanging="357"/>
        <w:jc w:val="both"/>
        <w:rPr>
          <w:lang w:val="hr-HR"/>
        </w:rPr>
      </w:pPr>
      <w:r w:rsidRPr="00B73903">
        <w:rPr>
          <w:lang w:val="hr-HR"/>
        </w:rPr>
        <w:t xml:space="preserve">topli obrok </w:t>
      </w:r>
      <w:r w:rsidR="00593BFE" w:rsidRPr="00B73903">
        <w:rPr>
          <w:lang w:val="hr-HR"/>
        </w:rPr>
        <w:t xml:space="preserve">zaposlenika </w:t>
      </w:r>
      <w:r w:rsidRPr="00B73903">
        <w:rPr>
          <w:lang w:val="hr-HR"/>
        </w:rPr>
        <w:t xml:space="preserve">po danu iznosi </w:t>
      </w:r>
      <w:r w:rsidR="00D92154" w:rsidRPr="00B73903">
        <w:rPr>
          <w:lang w:val="hr-HR"/>
        </w:rPr>
        <w:t xml:space="preserve">1% </w:t>
      </w:r>
      <w:r w:rsidR="000908A3" w:rsidRPr="00B73903">
        <w:rPr>
          <w:szCs w:val="22"/>
          <w:lang w:val="hr-HR"/>
        </w:rPr>
        <w:t>prosječne mjesečne neto plaće u Federaciji Bosne i Hercegovine</w:t>
      </w:r>
      <w:r w:rsidR="007F7F63" w:rsidRPr="00B73903">
        <w:rPr>
          <w:szCs w:val="22"/>
          <w:lang w:val="hr-HR"/>
        </w:rPr>
        <w:t>,</w:t>
      </w:r>
    </w:p>
    <w:p w:rsidR="001A265D" w:rsidRPr="00AE7804" w:rsidRDefault="001A265D" w:rsidP="00386FBA">
      <w:pPr>
        <w:numPr>
          <w:ilvl w:val="2"/>
          <w:numId w:val="2"/>
        </w:numPr>
        <w:ind w:left="2154" w:hanging="357"/>
        <w:jc w:val="both"/>
        <w:rPr>
          <w:lang w:val="hr-HR"/>
        </w:rPr>
      </w:pPr>
      <w:r w:rsidRPr="00AE7804">
        <w:rPr>
          <w:lang w:val="hr-HR"/>
        </w:rPr>
        <w:t xml:space="preserve">regres za godišnji odmor planirati u iznosu od </w:t>
      </w:r>
      <w:r w:rsidR="00B73903" w:rsidRPr="00AE7804">
        <w:rPr>
          <w:lang w:val="hr-HR"/>
        </w:rPr>
        <w:t>5</w:t>
      </w:r>
      <w:r w:rsidR="00D13CD7">
        <w:rPr>
          <w:lang w:val="hr-HR"/>
        </w:rPr>
        <w:t>6</w:t>
      </w:r>
      <w:r w:rsidR="00B73903" w:rsidRPr="00AE7804">
        <w:rPr>
          <w:lang w:val="hr-HR"/>
        </w:rPr>
        <w:t>0</w:t>
      </w:r>
      <w:r w:rsidRPr="00AE7804">
        <w:rPr>
          <w:lang w:val="hr-HR"/>
        </w:rPr>
        <w:t>,00 KM (osim za suce, tužitelje i stručne suradnike u pravosuđu</w:t>
      </w:r>
      <w:r w:rsidR="00B73903" w:rsidRPr="00AE7804">
        <w:rPr>
          <w:lang w:val="hr-HR"/>
        </w:rPr>
        <w:t xml:space="preserve"> </w:t>
      </w:r>
      <w:proofErr w:type="spellStart"/>
      <w:r w:rsidR="00B73903" w:rsidRPr="00AE7804">
        <w:t>na</w:t>
      </w:r>
      <w:proofErr w:type="spellEnd"/>
      <w:r w:rsidR="00B73903" w:rsidRPr="00AE7804">
        <w:t xml:space="preserve"> </w:t>
      </w:r>
      <w:proofErr w:type="spellStart"/>
      <w:r w:rsidR="00B73903" w:rsidRPr="00AE7804">
        <w:t>koje</w:t>
      </w:r>
      <w:proofErr w:type="spellEnd"/>
      <w:r w:rsidR="00B73903" w:rsidRPr="00AE7804">
        <w:t xml:space="preserve"> se </w:t>
      </w:r>
      <w:proofErr w:type="spellStart"/>
      <w:r w:rsidR="00B73903" w:rsidRPr="00AE7804">
        <w:t>primjenjuju</w:t>
      </w:r>
      <w:proofErr w:type="spellEnd"/>
      <w:r w:rsidR="00B73903" w:rsidRPr="00AE7804">
        <w:t xml:space="preserve"> </w:t>
      </w:r>
      <w:proofErr w:type="spellStart"/>
      <w:r w:rsidR="00B73903" w:rsidRPr="00AE7804">
        <w:t>odredbe</w:t>
      </w:r>
      <w:proofErr w:type="spellEnd"/>
      <w:r w:rsidR="00B73903" w:rsidRPr="00AE7804">
        <w:t xml:space="preserve"> </w:t>
      </w:r>
      <w:r w:rsidR="00B73903" w:rsidRPr="00AE7804">
        <w:rPr>
          <w:lang w:val="hr-HR"/>
        </w:rPr>
        <w:t>Zakona o plaćama i drugim naknadama sudaca i tužitelja u</w:t>
      </w:r>
      <w:r w:rsidR="00B73903" w:rsidRPr="00AE7804">
        <w:t xml:space="preserve"> </w:t>
      </w:r>
      <w:proofErr w:type="spellStart"/>
      <w:r w:rsidR="00B73903" w:rsidRPr="00AE7804">
        <w:t>Federaciji</w:t>
      </w:r>
      <w:proofErr w:type="spellEnd"/>
      <w:r w:rsidR="00B73903" w:rsidRPr="00AE7804">
        <w:t xml:space="preserve"> </w:t>
      </w:r>
      <w:proofErr w:type="spellStart"/>
      <w:r w:rsidR="00B73903" w:rsidRPr="00AE7804">
        <w:t>Bosne</w:t>
      </w:r>
      <w:proofErr w:type="spellEnd"/>
      <w:r w:rsidR="00B73903" w:rsidRPr="00AE7804">
        <w:t xml:space="preserve"> </w:t>
      </w:r>
      <w:proofErr w:type="spellStart"/>
      <w:r w:rsidR="00B73903" w:rsidRPr="00AE7804">
        <w:t>i</w:t>
      </w:r>
      <w:proofErr w:type="spellEnd"/>
      <w:r w:rsidR="00B73903" w:rsidRPr="00AE7804">
        <w:t xml:space="preserve"> </w:t>
      </w:r>
      <w:proofErr w:type="spellStart"/>
      <w:r w:rsidR="00B73903" w:rsidRPr="00AE7804">
        <w:t>Hercegovine</w:t>
      </w:r>
      <w:proofErr w:type="spellEnd"/>
      <w:r w:rsidRPr="00AE7804">
        <w:rPr>
          <w:lang w:val="hr-HR"/>
        </w:rPr>
        <w:t>).</w:t>
      </w:r>
    </w:p>
    <w:p w:rsidR="001A265D" w:rsidRPr="007F7F63" w:rsidRDefault="001A265D" w:rsidP="00386FBA">
      <w:pPr>
        <w:numPr>
          <w:ilvl w:val="0"/>
          <w:numId w:val="2"/>
        </w:numPr>
        <w:jc w:val="both"/>
        <w:rPr>
          <w:lang w:val="hr-HR"/>
        </w:rPr>
      </w:pPr>
      <w:r w:rsidRPr="007F7F63">
        <w:rPr>
          <w:lang w:val="hr-HR"/>
        </w:rPr>
        <w:t xml:space="preserve">Pri planiranju </w:t>
      </w:r>
      <w:r w:rsidRPr="007F7F63">
        <w:rPr>
          <w:b/>
          <w:bCs/>
          <w:lang w:val="hr-HR"/>
        </w:rPr>
        <w:t>Izdataka za materijalne troškove</w:t>
      </w:r>
      <w:r w:rsidRPr="007F7F63">
        <w:rPr>
          <w:lang w:val="hr-HR"/>
        </w:rPr>
        <w:t xml:space="preserve"> (ekonomski kod 613000) </w:t>
      </w:r>
      <w:r w:rsidR="00B73903">
        <w:rPr>
          <w:lang w:val="hr-HR"/>
        </w:rPr>
        <w:t>potrebno je uzeti u obzir projicirano kretanje inflacije u BiH za 2023. godinu</w:t>
      </w:r>
    </w:p>
    <w:p w:rsidR="001A265D" w:rsidRDefault="001A265D" w:rsidP="00386FBA">
      <w:pPr>
        <w:numPr>
          <w:ilvl w:val="0"/>
          <w:numId w:val="2"/>
        </w:numPr>
        <w:jc w:val="both"/>
        <w:rPr>
          <w:lang w:val="hr-HR"/>
        </w:rPr>
      </w:pPr>
      <w:r>
        <w:rPr>
          <w:b/>
          <w:bCs/>
          <w:lang w:val="hr-HR"/>
        </w:rPr>
        <w:t>Izdatke za tekuće i kapitalne grantove</w:t>
      </w:r>
      <w:r>
        <w:rPr>
          <w:lang w:val="hr-HR"/>
        </w:rPr>
        <w:t xml:space="preserve"> (ekonomski kodovi 614000 i 615000) potrebno je </w:t>
      </w:r>
      <w:r w:rsidR="00D91EBD">
        <w:rPr>
          <w:lang w:val="hr-HR"/>
        </w:rPr>
        <w:t xml:space="preserve">uskladiti s potrebama zajednice, uvažavajući zakonske propise i preporuke </w:t>
      </w:r>
      <w:r w:rsidR="00F56F47">
        <w:rPr>
          <w:lang w:val="hr-HR"/>
        </w:rPr>
        <w:t>U</w:t>
      </w:r>
      <w:r w:rsidR="00D91EBD">
        <w:rPr>
          <w:lang w:val="hr-HR"/>
        </w:rPr>
        <w:t>reda za reviziju</w:t>
      </w:r>
      <w:r w:rsidR="00F56F47">
        <w:rPr>
          <w:lang w:val="hr-HR"/>
        </w:rPr>
        <w:t xml:space="preserve"> institucija Federacije Bosne i Hercegovine</w:t>
      </w:r>
      <w:r>
        <w:rPr>
          <w:lang w:val="hr-HR"/>
        </w:rPr>
        <w:t>.</w:t>
      </w:r>
      <w:r w:rsidR="00D91EBD">
        <w:rPr>
          <w:lang w:val="hr-HR"/>
        </w:rPr>
        <w:t xml:space="preserve">   </w:t>
      </w:r>
    </w:p>
    <w:p w:rsidR="001A265D" w:rsidRDefault="001A265D" w:rsidP="00386FBA">
      <w:pPr>
        <w:numPr>
          <w:ilvl w:val="0"/>
          <w:numId w:val="2"/>
        </w:numPr>
        <w:jc w:val="both"/>
        <w:rPr>
          <w:lang w:val="hr-HR"/>
        </w:rPr>
      </w:pPr>
      <w:r>
        <w:rPr>
          <w:b/>
          <w:bCs/>
          <w:lang w:val="hr-HR"/>
        </w:rPr>
        <w:t>Izdatke za nabavku stalnih sredstava</w:t>
      </w:r>
      <w:r>
        <w:rPr>
          <w:lang w:val="hr-HR"/>
        </w:rPr>
        <w:t xml:space="preserve"> (građevina i opreme) (ekonomski kod 821000)  u </w:t>
      </w:r>
      <w:r w:rsidR="000908A3">
        <w:rPr>
          <w:lang w:val="hr-HR"/>
        </w:rPr>
        <w:t>2023</w:t>
      </w:r>
      <w:r>
        <w:rPr>
          <w:lang w:val="hr-HR"/>
        </w:rPr>
        <w:t>.g</w:t>
      </w:r>
      <w:r w:rsidR="00E8539F">
        <w:rPr>
          <w:lang w:val="hr-HR"/>
        </w:rPr>
        <w:t>.</w:t>
      </w:r>
      <w:r>
        <w:rPr>
          <w:lang w:val="hr-HR"/>
        </w:rPr>
        <w:t xml:space="preserve"> vezati isključivo za zadovoljavanje realnih i hitnih potreba za novim sredstvima, a čiji nedostatak bi ugrozio funkci</w:t>
      </w:r>
      <w:r w:rsidR="00D91EBD">
        <w:rPr>
          <w:lang w:val="hr-HR"/>
        </w:rPr>
        <w:t>oniranje proračunskog korisnika</w:t>
      </w:r>
      <w:r>
        <w:rPr>
          <w:lang w:val="hr-HR"/>
        </w:rPr>
        <w:t>. Ministarstvo financija zadržava pravo, da u cilju osiguranja ušteda i proračunske ravnoteže, predloži Vladi da se zahtjevi proračunskih korisnika za koje smatra da nisu hitni i realni ne usvoje.</w:t>
      </w:r>
    </w:p>
    <w:p w:rsidR="001A265D" w:rsidRDefault="001A265D" w:rsidP="00386FBA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Planiranje </w:t>
      </w:r>
      <w:r w:rsidRPr="009B7477">
        <w:rPr>
          <w:b/>
          <w:lang w:val="hr-HR"/>
        </w:rPr>
        <w:t>izdataka za kamate i otplate dugova</w:t>
      </w:r>
      <w:r>
        <w:rPr>
          <w:lang w:val="hr-HR"/>
        </w:rPr>
        <w:t xml:space="preserve"> su u nadležnosti Ministarstva financija. </w:t>
      </w:r>
    </w:p>
    <w:p w:rsidR="00E8539F" w:rsidRDefault="00E8539F" w:rsidP="00386FBA">
      <w:pPr>
        <w:pStyle w:val="Tijeloteksta"/>
        <w:ind w:firstLine="708"/>
        <w:rPr>
          <w:szCs w:val="24"/>
        </w:rPr>
      </w:pPr>
    </w:p>
    <w:p w:rsidR="001A265D" w:rsidRDefault="001A265D" w:rsidP="00386FBA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Uz Instrukciju broj 2, Ministarstvo financija dostavlja i proračunska ograničenja za </w:t>
      </w:r>
      <w:r w:rsidR="000908A3">
        <w:rPr>
          <w:szCs w:val="24"/>
        </w:rPr>
        <w:t>2023</w:t>
      </w:r>
      <w:r>
        <w:rPr>
          <w:szCs w:val="24"/>
        </w:rPr>
        <w:t xml:space="preserve">. godinu, izvedena iz Dokumenta okvirnog proračuna Županije Posavske za razdoblje </w:t>
      </w:r>
      <w:r w:rsidR="000908A3">
        <w:rPr>
          <w:szCs w:val="24"/>
        </w:rPr>
        <w:t>2023</w:t>
      </w:r>
      <w:r>
        <w:rPr>
          <w:szCs w:val="24"/>
        </w:rPr>
        <w:t>.-</w:t>
      </w:r>
      <w:r w:rsidR="000908A3">
        <w:rPr>
          <w:szCs w:val="24"/>
        </w:rPr>
        <w:t>2025</w:t>
      </w:r>
      <w:r>
        <w:rPr>
          <w:szCs w:val="24"/>
        </w:rPr>
        <w:t>. godina</w:t>
      </w:r>
      <w:r w:rsidR="00932914">
        <w:rPr>
          <w:szCs w:val="24"/>
        </w:rPr>
        <w:t>, za svaki</w:t>
      </w:r>
      <w:r>
        <w:rPr>
          <w:szCs w:val="24"/>
        </w:rPr>
        <w:t xml:space="preserve"> </w:t>
      </w:r>
      <w:r w:rsidR="00932914" w:rsidRPr="009B7477">
        <w:rPr>
          <w:b/>
          <w:szCs w:val="24"/>
        </w:rPr>
        <w:t>proračunski razdjel</w:t>
      </w:r>
      <w:r>
        <w:rPr>
          <w:szCs w:val="24"/>
        </w:rPr>
        <w:t xml:space="preserve"> pojedinačno, te se traži </w:t>
      </w:r>
      <w:r w:rsidR="00144EC7">
        <w:rPr>
          <w:szCs w:val="24"/>
        </w:rPr>
        <w:t>disciplina u</w:t>
      </w:r>
      <w:r>
        <w:rPr>
          <w:szCs w:val="24"/>
        </w:rPr>
        <w:t xml:space="preserve"> pridržava</w:t>
      </w:r>
      <w:r w:rsidR="00144EC7">
        <w:rPr>
          <w:szCs w:val="24"/>
        </w:rPr>
        <w:t>nju navedenih</w:t>
      </w:r>
      <w:r>
        <w:rPr>
          <w:szCs w:val="24"/>
        </w:rPr>
        <w:t xml:space="preserve"> ograničenja.</w:t>
      </w:r>
      <w:r w:rsidR="00974959">
        <w:rPr>
          <w:szCs w:val="24"/>
        </w:rPr>
        <w:t xml:space="preserve"> Gornje granice u donjoj tablici se odnose na </w:t>
      </w:r>
      <w:r w:rsidR="00974959" w:rsidRPr="00974959">
        <w:rPr>
          <w:b/>
          <w:szCs w:val="24"/>
        </w:rPr>
        <w:t>rashode iz proračunskih sredstava</w:t>
      </w:r>
      <w:r w:rsidR="00974959">
        <w:rPr>
          <w:szCs w:val="24"/>
        </w:rPr>
        <w:t>.</w:t>
      </w:r>
    </w:p>
    <w:p w:rsidR="00932914" w:rsidRDefault="00932914" w:rsidP="00932914">
      <w:pPr>
        <w:pStyle w:val="Tijeloteksta"/>
        <w:rPr>
          <w:szCs w:val="24"/>
        </w:rPr>
      </w:pPr>
    </w:p>
    <w:tbl>
      <w:tblPr>
        <w:tblW w:w="893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4961"/>
        <w:gridCol w:w="1134"/>
        <w:gridCol w:w="1134"/>
      </w:tblGrid>
      <w:tr w:rsidR="00932914" w:rsidRPr="00F93150" w:rsidTr="00932914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32914" w:rsidRPr="00932914" w:rsidRDefault="00932914" w:rsidP="00960B5D">
            <w:pPr>
              <w:jc w:val="center"/>
              <w:rPr>
                <w:b/>
                <w:sz w:val="20"/>
                <w:szCs w:val="20"/>
              </w:rPr>
            </w:pPr>
            <w:r w:rsidRPr="00932914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32914" w:rsidRPr="00932914" w:rsidRDefault="00932914" w:rsidP="00960B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2914">
              <w:rPr>
                <w:b/>
                <w:sz w:val="20"/>
                <w:szCs w:val="20"/>
              </w:rPr>
              <w:t>Organiz</w:t>
            </w:r>
            <w:proofErr w:type="spellEnd"/>
            <w:r w:rsidRPr="00932914">
              <w:rPr>
                <w:b/>
                <w:sz w:val="20"/>
                <w:szCs w:val="20"/>
              </w:rPr>
              <w:t>.</w:t>
            </w:r>
          </w:p>
          <w:p w:rsidR="00932914" w:rsidRPr="00932914" w:rsidRDefault="00932914" w:rsidP="00960B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2914"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932914" w:rsidRPr="00932914" w:rsidRDefault="00932914" w:rsidP="00960B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2914">
              <w:rPr>
                <w:b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32914" w:rsidRPr="00932914" w:rsidRDefault="00932914" w:rsidP="007F7F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2914">
              <w:rPr>
                <w:b/>
                <w:sz w:val="20"/>
                <w:szCs w:val="20"/>
              </w:rPr>
              <w:t>Proračun</w:t>
            </w:r>
            <w:proofErr w:type="spellEnd"/>
            <w:r w:rsidRPr="00932914">
              <w:rPr>
                <w:b/>
                <w:sz w:val="20"/>
                <w:szCs w:val="20"/>
              </w:rPr>
              <w:t xml:space="preserve"> za </w:t>
            </w:r>
            <w:r w:rsidR="007F7F63">
              <w:rPr>
                <w:b/>
                <w:sz w:val="20"/>
                <w:szCs w:val="20"/>
              </w:rPr>
              <w:t>2022</w:t>
            </w:r>
            <w:r w:rsidRPr="009329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32914" w:rsidRPr="00932914" w:rsidRDefault="00932914" w:rsidP="007F7F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2914">
              <w:rPr>
                <w:b/>
                <w:sz w:val="20"/>
                <w:szCs w:val="20"/>
              </w:rPr>
              <w:t>Gornja</w:t>
            </w:r>
            <w:proofErr w:type="spellEnd"/>
            <w:r w:rsidRPr="009329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2914">
              <w:rPr>
                <w:b/>
                <w:sz w:val="20"/>
                <w:szCs w:val="20"/>
              </w:rPr>
              <w:t>granica</w:t>
            </w:r>
            <w:proofErr w:type="spellEnd"/>
            <w:r w:rsidRPr="00932914">
              <w:rPr>
                <w:b/>
                <w:sz w:val="20"/>
                <w:szCs w:val="20"/>
              </w:rPr>
              <w:t xml:space="preserve"> za </w:t>
            </w:r>
            <w:r w:rsidR="007F7F63">
              <w:rPr>
                <w:b/>
                <w:sz w:val="20"/>
                <w:szCs w:val="20"/>
              </w:rPr>
              <w:t>2023</w:t>
            </w:r>
            <w:r w:rsidRPr="00932914">
              <w:rPr>
                <w:b/>
                <w:sz w:val="20"/>
                <w:szCs w:val="20"/>
              </w:rPr>
              <w:t>.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10010001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Skupština</w:t>
            </w:r>
            <w:proofErr w:type="spellEnd"/>
            <w:r w:rsidRPr="007F7F63">
              <w:rPr>
                <w:sz w:val="20"/>
                <w:szCs w:val="20"/>
              </w:rPr>
              <w:t xml:space="preserve"> Županije Posavske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979.810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959.350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11010001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Vlada Županije Posavske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3.097.290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2.718.630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11010003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Ured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i/>
                <w:sz w:val="20"/>
                <w:szCs w:val="20"/>
              </w:rPr>
              <w:t>zakonodavstvo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Vlade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11010004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Služba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i/>
                <w:sz w:val="20"/>
                <w:szCs w:val="20"/>
              </w:rPr>
              <w:t>odnose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s </w:t>
            </w:r>
            <w:proofErr w:type="spellStart"/>
            <w:r w:rsidRPr="007F7F63">
              <w:rPr>
                <w:i/>
                <w:sz w:val="20"/>
                <w:szCs w:val="20"/>
              </w:rPr>
              <w:t>javnošću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Vlade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11010005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Ured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i/>
                <w:sz w:val="20"/>
                <w:szCs w:val="20"/>
              </w:rPr>
              <w:t>razvoj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i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europske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integracije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11010006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144E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Ured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i/>
                <w:sz w:val="20"/>
                <w:szCs w:val="20"/>
              </w:rPr>
              <w:t>obnovu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i/>
                <w:sz w:val="20"/>
                <w:szCs w:val="20"/>
              </w:rPr>
              <w:t>stamb.zbrinj.i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raselj.osobe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Vlade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12010001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Zajednička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služba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Vlade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911.930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953.000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13010001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unutarnjih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poslova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8.753.970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8.607.440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14010001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pravosuđa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uprave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2.312.070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2.373.280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14020003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Općinski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sud u </w:t>
            </w:r>
            <w:proofErr w:type="spellStart"/>
            <w:r w:rsidRPr="007F7F63">
              <w:rPr>
                <w:i/>
                <w:sz w:val="20"/>
                <w:szCs w:val="20"/>
              </w:rPr>
              <w:t>Orašju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14050001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Općinsko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pravobraniteljstvo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Orašje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14050002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Općinsko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pravobraniteljstvo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Odžak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14060001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Županijski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Zavod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i/>
                <w:sz w:val="20"/>
                <w:szCs w:val="20"/>
              </w:rPr>
              <w:t>pružanje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pravne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14070001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Županijski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arhiv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15010001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gospodarstva</w:t>
            </w:r>
            <w:proofErr w:type="spellEnd"/>
            <w:r w:rsidRPr="007F7F63">
              <w:rPr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sz w:val="20"/>
                <w:szCs w:val="20"/>
              </w:rPr>
              <w:t>rada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prostornog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uređenja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836.485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1.367.960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16010001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financija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2.592.420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2.108.210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17010001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zdravstva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socijalne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politike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4.153.500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4.778.860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18010001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prometa</w:t>
            </w:r>
            <w:proofErr w:type="spellEnd"/>
            <w:r w:rsidRPr="007F7F63">
              <w:rPr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sz w:val="20"/>
                <w:szCs w:val="20"/>
              </w:rPr>
              <w:t>veza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zaštite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okoliša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403.810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470.490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19010001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poljoprivrede</w:t>
            </w:r>
            <w:proofErr w:type="spellEnd"/>
            <w:r w:rsidRPr="007F7F63">
              <w:rPr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sz w:val="20"/>
                <w:szCs w:val="20"/>
              </w:rPr>
              <w:t>vodoprivrede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šumarstva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3.150.130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2.989.780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20010001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 xml:space="preserve">Ministarstvo </w:t>
            </w:r>
            <w:proofErr w:type="spellStart"/>
            <w:r w:rsidRPr="007F7F63">
              <w:rPr>
                <w:sz w:val="20"/>
                <w:szCs w:val="20"/>
              </w:rPr>
              <w:t>prosvjete</w:t>
            </w:r>
            <w:proofErr w:type="spellEnd"/>
            <w:r w:rsidRPr="007F7F63">
              <w:rPr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sz w:val="20"/>
                <w:szCs w:val="20"/>
              </w:rPr>
              <w:t>znanosti</w:t>
            </w:r>
            <w:proofErr w:type="spellEnd"/>
            <w:r w:rsidRPr="007F7F63">
              <w:rPr>
                <w:sz w:val="20"/>
                <w:szCs w:val="20"/>
              </w:rPr>
              <w:t xml:space="preserve">, </w:t>
            </w:r>
            <w:proofErr w:type="spellStart"/>
            <w:r w:rsidRPr="007F7F63">
              <w:rPr>
                <w:sz w:val="20"/>
                <w:szCs w:val="20"/>
              </w:rPr>
              <w:t>kulture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sporta</w:t>
            </w:r>
            <w:proofErr w:type="spellEnd"/>
            <w:r w:rsidRPr="007F7F63">
              <w:rPr>
                <w:sz w:val="20"/>
                <w:szCs w:val="20"/>
              </w:rPr>
              <w:t xml:space="preserve">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16.954.930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16.712.680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20020002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Srednja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Pere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Zečevića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Odžaku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20020003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F7F63">
              <w:rPr>
                <w:i/>
                <w:sz w:val="20"/>
                <w:szCs w:val="20"/>
              </w:rPr>
              <w:t xml:space="preserve">Školski </w:t>
            </w:r>
            <w:proofErr w:type="spellStart"/>
            <w:r w:rsidRPr="007F7F63">
              <w:rPr>
                <w:i/>
                <w:sz w:val="20"/>
                <w:szCs w:val="20"/>
              </w:rPr>
              <w:t>centar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Fra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Martina </w:t>
            </w:r>
            <w:proofErr w:type="spellStart"/>
            <w:r w:rsidRPr="007F7F63">
              <w:rPr>
                <w:i/>
                <w:sz w:val="20"/>
                <w:szCs w:val="20"/>
              </w:rPr>
              <w:t>Nedića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Orašju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20020004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Srednja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strukovna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Orašje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Orašju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Orašje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Orašju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Vladimira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Nazora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Odžaku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Ruđera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Boškovića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Donjoj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Mahali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Fra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Ilije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Starčevića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Tolisi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Stjepana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Radića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Boku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Antuna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Gustava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Matoša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Vidovicama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20030007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Pr="007F7F63">
              <w:rPr>
                <w:i/>
                <w:sz w:val="20"/>
                <w:szCs w:val="20"/>
              </w:rPr>
              <w:t>Osnovna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škola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Braće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i/>
                <w:sz w:val="20"/>
                <w:szCs w:val="20"/>
              </w:rPr>
              <w:t>Radića</w:t>
            </w:r>
            <w:proofErr w:type="spellEnd"/>
            <w:r w:rsidRPr="007F7F63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i/>
                <w:sz w:val="20"/>
                <w:szCs w:val="20"/>
              </w:rPr>
              <w:t>Domaljevcu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i/>
                <w:sz w:val="20"/>
                <w:szCs w:val="20"/>
              </w:rPr>
            </w:pPr>
            <w:r w:rsidRPr="007F7F63">
              <w:rPr>
                <w:i/>
                <w:sz w:val="20"/>
                <w:szCs w:val="20"/>
              </w:rPr>
              <w:t>*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21010001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Ministarstvo branitelja ŽP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2.193.670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2.216.540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22010001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Agencija</w:t>
            </w:r>
            <w:proofErr w:type="spellEnd"/>
            <w:r w:rsidRPr="007F7F63">
              <w:rPr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sz w:val="20"/>
                <w:szCs w:val="20"/>
              </w:rPr>
              <w:t>privatizaciju</w:t>
            </w:r>
            <w:proofErr w:type="spellEnd"/>
            <w:r w:rsidRPr="007F7F63">
              <w:rPr>
                <w:sz w:val="20"/>
                <w:szCs w:val="20"/>
              </w:rPr>
              <w:t xml:space="preserve"> u </w:t>
            </w:r>
            <w:proofErr w:type="spellStart"/>
            <w:r w:rsidRPr="007F7F63">
              <w:rPr>
                <w:sz w:val="20"/>
                <w:szCs w:val="20"/>
              </w:rPr>
              <w:t>Županiji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Posavskoj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137.790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175.470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23010001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Županijska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uprava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civilne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zaštite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617.120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786.270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24010001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Kantonalni</w:t>
            </w:r>
            <w:proofErr w:type="spellEnd"/>
            <w:r w:rsidRPr="007F7F63">
              <w:rPr>
                <w:sz w:val="20"/>
                <w:szCs w:val="20"/>
              </w:rPr>
              <w:t xml:space="preserve"> sud </w:t>
            </w:r>
            <w:proofErr w:type="spellStart"/>
            <w:r w:rsidRPr="007F7F63">
              <w:rPr>
                <w:sz w:val="20"/>
                <w:szCs w:val="20"/>
              </w:rPr>
              <w:t>Odžak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807.490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843.000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26010001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Županijsko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pravobraniteljstvo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106.580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123.870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27010001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Kantonalno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tužiteljstvo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Posavskog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kantona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Orašje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487.920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600.190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28010001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sz w:val="20"/>
                <w:szCs w:val="20"/>
              </w:rPr>
            </w:pPr>
            <w:proofErr w:type="spellStart"/>
            <w:r w:rsidRPr="007F7F63">
              <w:rPr>
                <w:sz w:val="20"/>
                <w:szCs w:val="20"/>
              </w:rPr>
              <w:t>Županijska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uprava</w:t>
            </w:r>
            <w:proofErr w:type="spellEnd"/>
            <w:r w:rsidRPr="007F7F63">
              <w:rPr>
                <w:sz w:val="20"/>
                <w:szCs w:val="20"/>
              </w:rPr>
              <w:t xml:space="preserve"> za </w:t>
            </w:r>
            <w:proofErr w:type="spellStart"/>
            <w:r w:rsidRPr="007F7F63">
              <w:rPr>
                <w:sz w:val="20"/>
                <w:szCs w:val="20"/>
              </w:rPr>
              <w:t>inspekcijske</w:t>
            </w:r>
            <w:proofErr w:type="spellEnd"/>
            <w:r w:rsidRPr="007F7F63">
              <w:rPr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603.280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sz w:val="20"/>
                <w:szCs w:val="20"/>
              </w:rPr>
            </w:pPr>
            <w:r w:rsidRPr="007F7F63">
              <w:rPr>
                <w:sz w:val="20"/>
                <w:szCs w:val="20"/>
              </w:rPr>
              <w:t>609.270</w:t>
            </w:r>
          </w:p>
        </w:tc>
      </w:tr>
      <w:tr w:rsidR="007F7F63" w:rsidRPr="007F7F63" w:rsidTr="0093291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63" w:rsidRPr="007F7F63" w:rsidRDefault="007F7F63" w:rsidP="00960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63" w:rsidRPr="007F7F63" w:rsidRDefault="007F7F63" w:rsidP="00960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63" w:rsidRPr="007F7F63" w:rsidRDefault="007F7F63" w:rsidP="00960B5D">
            <w:pPr>
              <w:rPr>
                <w:b/>
                <w:sz w:val="20"/>
                <w:szCs w:val="20"/>
              </w:rPr>
            </w:pPr>
            <w:proofErr w:type="spellStart"/>
            <w:r w:rsidRPr="007F7F63">
              <w:rPr>
                <w:b/>
                <w:sz w:val="20"/>
                <w:szCs w:val="20"/>
              </w:rPr>
              <w:t>Ukupni</w:t>
            </w:r>
            <w:proofErr w:type="spellEnd"/>
            <w:r w:rsidRPr="007F7F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7F63">
              <w:rPr>
                <w:b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b/>
                <w:sz w:val="20"/>
                <w:szCs w:val="20"/>
              </w:rPr>
            </w:pPr>
            <w:r w:rsidRPr="007F7F63">
              <w:rPr>
                <w:b/>
                <w:sz w:val="20"/>
                <w:szCs w:val="20"/>
              </w:rPr>
              <w:t>49.100.195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63" w:rsidRPr="007F7F63" w:rsidRDefault="007F7F63" w:rsidP="004E25FC">
            <w:pPr>
              <w:jc w:val="right"/>
              <w:rPr>
                <w:b/>
                <w:sz w:val="20"/>
                <w:szCs w:val="20"/>
              </w:rPr>
            </w:pPr>
            <w:r w:rsidRPr="007F7F63">
              <w:rPr>
                <w:b/>
                <w:sz w:val="20"/>
                <w:szCs w:val="20"/>
              </w:rPr>
              <w:t>49.394.290</w:t>
            </w:r>
          </w:p>
        </w:tc>
      </w:tr>
    </w:tbl>
    <w:p w:rsidR="00932914" w:rsidRDefault="00932914" w:rsidP="00932914">
      <w:pPr>
        <w:pStyle w:val="Tijeloteksta"/>
        <w:rPr>
          <w:szCs w:val="24"/>
        </w:rPr>
      </w:pPr>
    </w:p>
    <w:p w:rsidR="00932914" w:rsidRDefault="00932914" w:rsidP="00932914">
      <w:pPr>
        <w:pStyle w:val="Tijeloteksta"/>
        <w:ind w:firstLine="708"/>
        <w:rPr>
          <w:szCs w:val="24"/>
        </w:rPr>
      </w:pPr>
      <w:r w:rsidRPr="00E22E16">
        <w:rPr>
          <w:b/>
          <w:szCs w:val="24"/>
        </w:rPr>
        <w:t>VAŽNA NAPOMENA:</w:t>
      </w:r>
      <w:r>
        <w:rPr>
          <w:szCs w:val="24"/>
        </w:rPr>
        <w:t xml:space="preserve"> </w:t>
      </w:r>
      <w:r w:rsidR="00E22E16">
        <w:rPr>
          <w:szCs w:val="24"/>
        </w:rPr>
        <w:t>Navedene g</w:t>
      </w:r>
      <w:r>
        <w:rPr>
          <w:szCs w:val="24"/>
        </w:rPr>
        <w:t xml:space="preserve">ornje granice rashoda odnose se na </w:t>
      </w:r>
      <w:r w:rsidRPr="00E22E16">
        <w:rPr>
          <w:b/>
          <w:szCs w:val="24"/>
        </w:rPr>
        <w:t>proračunske razdjele</w:t>
      </w:r>
      <w:r>
        <w:rPr>
          <w:szCs w:val="24"/>
        </w:rPr>
        <w:t xml:space="preserve">. To znači da nositelj razdjela </w:t>
      </w:r>
      <w:r w:rsidR="00FD255A">
        <w:rPr>
          <w:szCs w:val="24"/>
        </w:rPr>
        <w:t xml:space="preserve">treba zatražiti i prikupiti zahtjeve od </w:t>
      </w:r>
      <w:r w:rsidR="000908A3">
        <w:rPr>
          <w:szCs w:val="24"/>
        </w:rPr>
        <w:t>proračunskih institucija/</w:t>
      </w:r>
      <w:r w:rsidR="00FD255A">
        <w:rPr>
          <w:szCs w:val="24"/>
        </w:rPr>
        <w:t>potrošačkih jedinica</w:t>
      </w:r>
      <w:r w:rsidR="00144EC7">
        <w:rPr>
          <w:szCs w:val="24"/>
        </w:rPr>
        <w:t xml:space="preserve"> </w:t>
      </w:r>
      <w:r w:rsidR="000908A3">
        <w:rPr>
          <w:szCs w:val="24"/>
        </w:rPr>
        <w:t xml:space="preserve">iz svoje nadležnosti </w:t>
      </w:r>
      <w:r w:rsidR="00144EC7">
        <w:rPr>
          <w:szCs w:val="24"/>
        </w:rPr>
        <w:t>(ukoliko ih ima)</w:t>
      </w:r>
      <w:r w:rsidR="00FD255A">
        <w:rPr>
          <w:szCs w:val="24"/>
        </w:rPr>
        <w:t xml:space="preserve">, te </w:t>
      </w:r>
      <w:r>
        <w:rPr>
          <w:szCs w:val="24"/>
        </w:rPr>
        <w:t>Ministarstvu financija dostaviti proračunski zahtjev za cijeli razdjel (konsolidirano i pojedinačno) uklapajući se u utvrđenu gornju granicu rashoda za razdjel (primjerice razdjel 11., nositelj razdjela Vlada Županije Posavske, potrošačke jedinice</w:t>
      </w:r>
      <w:r w:rsidR="00E22E16">
        <w:rPr>
          <w:szCs w:val="24"/>
        </w:rPr>
        <w:t>:</w:t>
      </w:r>
      <w:r>
        <w:rPr>
          <w:szCs w:val="24"/>
        </w:rPr>
        <w:t xml:space="preserve"> uredi i službe).</w:t>
      </w:r>
      <w:r w:rsidR="00E22E16">
        <w:rPr>
          <w:szCs w:val="24"/>
        </w:rPr>
        <w:t xml:space="preserve"> Ministarstvo financija preporučuje korisnicima koji u svom razdjelu imaju </w:t>
      </w:r>
      <w:r w:rsidR="000908A3">
        <w:rPr>
          <w:szCs w:val="24"/>
        </w:rPr>
        <w:t>proračunske institucije/</w:t>
      </w:r>
      <w:r w:rsidR="00E22E16">
        <w:rPr>
          <w:szCs w:val="24"/>
        </w:rPr>
        <w:t xml:space="preserve">potrošačke jedinice (Vlada Županije Posavske, </w:t>
      </w:r>
      <w:r w:rsidR="000908A3">
        <w:rPr>
          <w:szCs w:val="24"/>
        </w:rPr>
        <w:t>Ministarstvo pravosuđa i uprave</w:t>
      </w:r>
      <w:r w:rsidR="00E22E16">
        <w:rPr>
          <w:szCs w:val="24"/>
        </w:rPr>
        <w:t xml:space="preserve"> i Ministarstvo prosvjete, znanosti, kulture i sporta) da prije dostavljanja zahtjeva Ministarstvu financija organiziraju i provedu konzultacije sa svojim </w:t>
      </w:r>
      <w:r w:rsidR="000908A3">
        <w:rPr>
          <w:szCs w:val="24"/>
        </w:rPr>
        <w:t>proračunskim institucijama/</w:t>
      </w:r>
      <w:r w:rsidR="00E22E16">
        <w:rPr>
          <w:szCs w:val="24"/>
        </w:rPr>
        <w:t>potrošačkim jedinicama.</w:t>
      </w:r>
    </w:p>
    <w:p w:rsidR="00932914" w:rsidRDefault="00932914" w:rsidP="00932914">
      <w:pPr>
        <w:pStyle w:val="Tijeloteksta"/>
        <w:ind w:firstLine="708"/>
        <w:rPr>
          <w:szCs w:val="24"/>
        </w:rPr>
      </w:pPr>
    </w:p>
    <w:p w:rsidR="00386FBA" w:rsidRDefault="00386FBA" w:rsidP="004D61F3">
      <w:pPr>
        <w:ind w:firstLine="708"/>
        <w:jc w:val="both"/>
      </w:pPr>
      <w:proofErr w:type="spellStart"/>
      <w:r w:rsidRPr="00252832">
        <w:t>Uz</w:t>
      </w:r>
      <w:proofErr w:type="spellEnd"/>
      <w:r w:rsidRPr="00252832">
        <w:t xml:space="preserve"> </w:t>
      </w:r>
      <w:proofErr w:type="spellStart"/>
      <w:r w:rsidRPr="00252832">
        <w:t>zahtjev</w:t>
      </w:r>
      <w:proofErr w:type="spellEnd"/>
      <w:r w:rsidRPr="00252832">
        <w:t xml:space="preserve"> za </w:t>
      </w:r>
      <w:proofErr w:type="spellStart"/>
      <w:r w:rsidRPr="00252832">
        <w:t>proračun</w:t>
      </w:r>
      <w:proofErr w:type="spellEnd"/>
      <w:r w:rsidRPr="00252832">
        <w:t xml:space="preserve"> </w:t>
      </w:r>
      <w:proofErr w:type="spellStart"/>
      <w:r w:rsidRPr="00252832">
        <w:t>potrebno</w:t>
      </w:r>
      <w:proofErr w:type="spellEnd"/>
      <w:r w:rsidRPr="00252832">
        <w:t xml:space="preserve"> je </w:t>
      </w:r>
      <w:proofErr w:type="spellStart"/>
      <w:r w:rsidRPr="00252832">
        <w:t>obvezno</w:t>
      </w:r>
      <w:proofErr w:type="spellEnd"/>
      <w:r w:rsidR="00DF717E" w:rsidRPr="00252832">
        <w:t xml:space="preserve"> </w:t>
      </w:r>
      <w:proofErr w:type="spellStart"/>
      <w:r w:rsidR="00DF717E" w:rsidRPr="00252832">
        <w:t>popuniti</w:t>
      </w:r>
      <w:proofErr w:type="spellEnd"/>
      <w:r w:rsidR="00DF717E" w:rsidRPr="00252832">
        <w:t xml:space="preserve"> </w:t>
      </w:r>
      <w:proofErr w:type="spellStart"/>
      <w:r w:rsidR="00DF717E" w:rsidRPr="00252832">
        <w:t>i</w:t>
      </w:r>
      <w:proofErr w:type="spellEnd"/>
      <w:r w:rsidR="00DF717E" w:rsidRPr="00252832">
        <w:t xml:space="preserve"> </w:t>
      </w:r>
      <w:proofErr w:type="spellStart"/>
      <w:r w:rsidRPr="00252832">
        <w:t>dostaviti</w:t>
      </w:r>
      <w:proofErr w:type="spellEnd"/>
      <w:r w:rsidRPr="00252832">
        <w:t xml:space="preserve"> </w:t>
      </w:r>
      <w:proofErr w:type="spellStart"/>
      <w:r w:rsidRPr="00252832">
        <w:t>korektno</w:t>
      </w:r>
      <w:proofErr w:type="spellEnd"/>
      <w:r w:rsidRPr="00252832">
        <w:t xml:space="preserve"> </w:t>
      </w:r>
      <w:proofErr w:type="spellStart"/>
      <w:r w:rsidRPr="00252832">
        <w:t>i</w:t>
      </w:r>
      <w:proofErr w:type="spellEnd"/>
      <w:r w:rsidRPr="00252832">
        <w:t xml:space="preserve"> </w:t>
      </w:r>
      <w:proofErr w:type="spellStart"/>
      <w:r w:rsidRPr="00252832">
        <w:t>cjelovito</w:t>
      </w:r>
      <w:proofErr w:type="spellEnd"/>
      <w:r w:rsidRPr="00252832">
        <w:t xml:space="preserve"> </w:t>
      </w:r>
      <w:proofErr w:type="spellStart"/>
      <w:r w:rsidRPr="00252832">
        <w:t>popunjene</w:t>
      </w:r>
      <w:proofErr w:type="spellEnd"/>
      <w:r w:rsidRPr="00252832">
        <w:t xml:space="preserve"> </w:t>
      </w:r>
      <w:proofErr w:type="spellStart"/>
      <w:r w:rsidRPr="00252832">
        <w:t>obrasce</w:t>
      </w:r>
      <w:proofErr w:type="spellEnd"/>
      <w:r w:rsidRPr="00252832">
        <w:t xml:space="preserve">: </w:t>
      </w:r>
      <w:r w:rsidR="004D61F3" w:rsidRPr="00252832">
        <w:rPr>
          <w:bCs/>
        </w:rPr>
        <w:t>TB-A</w:t>
      </w:r>
      <w:r w:rsidRPr="00252832">
        <w:rPr>
          <w:bCs/>
        </w:rPr>
        <w:t xml:space="preserve"> </w:t>
      </w:r>
      <w:r w:rsidR="00252832" w:rsidRPr="00252832">
        <w:rPr>
          <w:bCs/>
        </w:rPr>
        <w:t>(</w:t>
      </w:r>
      <w:proofErr w:type="spellStart"/>
      <w:r w:rsidRPr="00252832">
        <w:rPr>
          <w:bCs/>
        </w:rPr>
        <w:t>Broj</w:t>
      </w:r>
      <w:proofErr w:type="spellEnd"/>
      <w:r w:rsidRPr="00252832">
        <w:rPr>
          <w:bCs/>
        </w:rPr>
        <w:t xml:space="preserve"> </w:t>
      </w:r>
      <w:proofErr w:type="spellStart"/>
      <w:r w:rsidRPr="00252832">
        <w:rPr>
          <w:bCs/>
        </w:rPr>
        <w:t>i</w:t>
      </w:r>
      <w:proofErr w:type="spellEnd"/>
      <w:r w:rsidRPr="00252832">
        <w:rPr>
          <w:bCs/>
        </w:rPr>
        <w:t xml:space="preserve"> </w:t>
      </w:r>
      <w:proofErr w:type="spellStart"/>
      <w:r w:rsidRPr="00252832">
        <w:rPr>
          <w:bCs/>
        </w:rPr>
        <w:t>struktura</w:t>
      </w:r>
      <w:proofErr w:type="spellEnd"/>
      <w:r w:rsidRPr="00252832">
        <w:rPr>
          <w:bCs/>
        </w:rPr>
        <w:t xml:space="preserve"> </w:t>
      </w:r>
      <w:proofErr w:type="spellStart"/>
      <w:r w:rsidRPr="00252832">
        <w:rPr>
          <w:bCs/>
        </w:rPr>
        <w:t>zaposlenih</w:t>
      </w:r>
      <w:proofErr w:type="spellEnd"/>
      <w:r w:rsidR="00252832" w:rsidRPr="00252832">
        <w:rPr>
          <w:bCs/>
        </w:rPr>
        <w:t>)</w:t>
      </w:r>
      <w:r w:rsidRPr="00252832">
        <w:rPr>
          <w:bCs/>
        </w:rPr>
        <w:t xml:space="preserve">, </w:t>
      </w:r>
      <w:r w:rsidR="004D61F3" w:rsidRPr="00252832">
        <w:rPr>
          <w:bCs/>
        </w:rPr>
        <w:t>TB-</w:t>
      </w:r>
      <w:r w:rsidRPr="00252832">
        <w:rPr>
          <w:bCs/>
        </w:rPr>
        <w:t>B</w:t>
      </w:r>
      <w:r w:rsidR="004D61F3" w:rsidRPr="00252832">
        <w:rPr>
          <w:bCs/>
        </w:rPr>
        <w:t xml:space="preserve"> </w:t>
      </w:r>
      <w:r w:rsidR="00252832" w:rsidRPr="00252832">
        <w:rPr>
          <w:bCs/>
        </w:rPr>
        <w:t>(</w:t>
      </w:r>
      <w:proofErr w:type="spellStart"/>
      <w:r w:rsidR="004D61F3" w:rsidRPr="00252832">
        <w:rPr>
          <w:bCs/>
        </w:rPr>
        <w:t>Naknade</w:t>
      </w:r>
      <w:proofErr w:type="spellEnd"/>
      <w:r w:rsidR="004D61F3" w:rsidRPr="00252832">
        <w:rPr>
          <w:bCs/>
        </w:rPr>
        <w:t xml:space="preserve"> </w:t>
      </w:r>
      <w:proofErr w:type="spellStart"/>
      <w:r w:rsidR="004D61F3" w:rsidRPr="00252832">
        <w:rPr>
          <w:bCs/>
        </w:rPr>
        <w:t>troškova</w:t>
      </w:r>
      <w:proofErr w:type="spellEnd"/>
      <w:r w:rsidR="004D61F3" w:rsidRPr="00252832">
        <w:rPr>
          <w:bCs/>
        </w:rPr>
        <w:t xml:space="preserve"> </w:t>
      </w:r>
      <w:proofErr w:type="spellStart"/>
      <w:r w:rsidR="004D61F3" w:rsidRPr="00252832">
        <w:rPr>
          <w:bCs/>
        </w:rPr>
        <w:t>zaposlenih</w:t>
      </w:r>
      <w:proofErr w:type="spellEnd"/>
      <w:r w:rsidR="00252832" w:rsidRPr="00252832">
        <w:rPr>
          <w:bCs/>
        </w:rPr>
        <w:t>)</w:t>
      </w:r>
      <w:r w:rsidR="004D61F3" w:rsidRPr="00252832">
        <w:rPr>
          <w:bCs/>
        </w:rPr>
        <w:t>,</w:t>
      </w:r>
      <w:r w:rsidRPr="00252832">
        <w:rPr>
          <w:bCs/>
        </w:rPr>
        <w:t xml:space="preserve"> </w:t>
      </w:r>
      <w:r w:rsidR="004D61F3" w:rsidRPr="00252832">
        <w:rPr>
          <w:bCs/>
        </w:rPr>
        <w:t>TB-</w:t>
      </w:r>
      <w:r w:rsidRPr="00252832">
        <w:rPr>
          <w:bCs/>
        </w:rPr>
        <w:t xml:space="preserve">C </w:t>
      </w:r>
      <w:r w:rsidR="00252832" w:rsidRPr="00252832">
        <w:rPr>
          <w:bCs/>
        </w:rPr>
        <w:t>(</w:t>
      </w:r>
      <w:proofErr w:type="spellStart"/>
      <w:r w:rsidRPr="00252832">
        <w:rPr>
          <w:bCs/>
        </w:rPr>
        <w:t>Dodatak</w:t>
      </w:r>
      <w:proofErr w:type="spellEnd"/>
      <w:r w:rsidRPr="00252832">
        <w:rPr>
          <w:bCs/>
        </w:rPr>
        <w:t xml:space="preserve"> – </w:t>
      </w:r>
      <w:proofErr w:type="spellStart"/>
      <w:r w:rsidRPr="00252832">
        <w:rPr>
          <w:bCs/>
        </w:rPr>
        <w:t>vanjski</w:t>
      </w:r>
      <w:proofErr w:type="spellEnd"/>
      <w:r w:rsidRPr="00252832">
        <w:rPr>
          <w:bCs/>
        </w:rPr>
        <w:t xml:space="preserve"> </w:t>
      </w:r>
      <w:proofErr w:type="spellStart"/>
      <w:r w:rsidRPr="00252832">
        <w:rPr>
          <w:bCs/>
        </w:rPr>
        <w:t>suradnici</w:t>
      </w:r>
      <w:proofErr w:type="spellEnd"/>
      <w:r w:rsidRPr="00252832">
        <w:rPr>
          <w:bCs/>
        </w:rPr>
        <w:t>)</w:t>
      </w:r>
      <w:r w:rsidR="004D61F3" w:rsidRPr="00252832">
        <w:t xml:space="preserve">, </w:t>
      </w:r>
      <w:r w:rsidRPr="00252832">
        <w:rPr>
          <w:bCs/>
          <w:lang w:val="hr-HR"/>
        </w:rPr>
        <w:t>T</w:t>
      </w:r>
      <w:r w:rsidR="004D61F3" w:rsidRPr="00252832">
        <w:rPr>
          <w:bCs/>
          <w:lang w:val="hr-HR"/>
        </w:rPr>
        <w:t>B-</w:t>
      </w:r>
      <w:r w:rsidRPr="00252832">
        <w:rPr>
          <w:bCs/>
          <w:lang w:val="hr-HR"/>
        </w:rPr>
        <w:t>D</w:t>
      </w:r>
      <w:r w:rsidR="00DF717E" w:rsidRPr="00252832">
        <w:rPr>
          <w:bCs/>
          <w:lang w:val="hr-HR"/>
        </w:rPr>
        <w:t xml:space="preserve"> </w:t>
      </w:r>
      <w:r w:rsidR="00252832" w:rsidRPr="00252832">
        <w:rPr>
          <w:bCs/>
          <w:lang w:val="hr-HR"/>
        </w:rPr>
        <w:t>(</w:t>
      </w:r>
      <w:r w:rsidRPr="00252832">
        <w:rPr>
          <w:bCs/>
          <w:lang w:val="hr-HR"/>
        </w:rPr>
        <w:t>Planirani priliv sredstava po izvorima</w:t>
      </w:r>
      <w:r w:rsidR="00252832" w:rsidRPr="00252832">
        <w:rPr>
          <w:bCs/>
          <w:lang w:val="hr-HR"/>
        </w:rPr>
        <w:t>)</w:t>
      </w:r>
      <w:r w:rsidR="00E22E16" w:rsidRPr="00252832">
        <w:rPr>
          <w:lang w:val="hr-HR"/>
        </w:rPr>
        <w:t xml:space="preserve"> i TB-E </w:t>
      </w:r>
      <w:r w:rsidR="00252832" w:rsidRPr="00252832">
        <w:rPr>
          <w:lang w:val="hr-HR"/>
        </w:rPr>
        <w:t>(</w:t>
      </w:r>
      <w:r w:rsidR="00E22E16" w:rsidRPr="00252832">
        <w:rPr>
          <w:lang w:val="hr-HR"/>
        </w:rPr>
        <w:t>Plan nabavke osnovnih sredstava</w:t>
      </w:r>
      <w:r w:rsidR="00252832" w:rsidRPr="00252832">
        <w:rPr>
          <w:lang w:val="hr-HR"/>
        </w:rPr>
        <w:t>)</w:t>
      </w:r>
      <w:r w:rsidR="00E22E16" w:rsidRPr="00252832">
        <w:rPr>
          <w:lang w:val="hr-HR"/>
        </w:rPr>
        <w:t>.</w:t>
      </w:r>
    </w:p>
    <w:p w:rsidR="001A265D" w:rsidRDefault="001A265D" w:rsidP="00386FBA">
      <w:pPr>
        <w:pStyle w:val="Tijeloteksta"/>
        <w:rPr>
          <w:szCs w:val="24"/>
        </w:rPr>
      </w:pPr>
    </w:p>
    <w:p w:rsidR="00E22E16" w:rsidRDefault="00E22E16" w:rsidP="00386FBA">
      <w:pPr>
        <w:pStyle w:val="Tijeloteksta"/>
        <w:rPr>
          <w:szCs w:val="24"/>
        </w:rPr>
      </w:pPr>
    </w:p>
    <w:p w:rsidR="00144EC7" w:rsidRDefault="00144EC7" w:rsidP="00386FBA">
      <w:pPr>
        <w:pStyle w:val="Tijeloteksta"/>
        <w:rPr>
          <w:szCs w:val="24"/>
        </w:rPr>
      </w:pPr>
    </w:p>
    <w:p w:rsidR="001A265D" w:rsidRDefault="001A265D" w:rsidP="00386FBA">
      <w:pPr>
        <w:pStyle w:val="Naslov3"/>
        <w:spacing w:line="240" w:lineRule="auto"/>
        <w:jc w:val="both"/>
        <w:rPr>
          <w:b/>
          <w:bCs/>
          <w:i/>
          <w:iCs/>
          <w:szCs w:val="20"/>
          <w:u w:val="none"/>
        </w:rPr>
      </w:pPr>
      <w:r>
        <w:rPr>
          <w:b/>
          <w:bCs/>
          <w:i/>
          <w:iCs/>
          <w:szCs w:val="20"/>
          <w:u w:val="none"/>
        </w:rPr>
        <w:lastRenderedPageBreak/>
        <w:t>Sažetak potrebnih aktivnosti</w:t>
      </w:r>
    </w:p>
    <w:p w:rsidR="001A265D" w:rsidRDefault="001A265D" w:rsidP="00386FBA">
      <w:pPr>
        <w:jc w:val="both"/>
        <w:rPr>
          <w:szCs w:val="20"/>
        </w:rPr>
      </w:pPr>
    </w:p>
    <w:p w:rsidR="00DF717E" w:rsidRDefault="001A265D" w:rsidP="00386FBA">
      <w:pPr>
        <w:numPr>
          <w:ilvl w:val="0"/>
          <w:numId w:val="6"/>
        </w:numPr>
        <w:tabs>
          <w:tab w:val="left" w:pos="1418"/>
        </w:tabs>
        <w:jc w:val="both"/>
        <w:rPr>
          <w:szCs w:val="20"/>
          <w:lang w:val="hr-HR"/>
        </w:rPr>
      </w:pPr>
      <w:r>
        <w:rPr>
          <w:szCs w:val="20"/>
          <w:lang w:val="hr-HR"/>
        </w:rPr>
        <w:t xml:space="preserve">Proračunski </w:t>
      </w:r>
      <w:r w:rsidR="00E22E16">
        <w:rPr>
          <w:szCs w:val="20"/>
          <w:lang w:val="hr-HR"/>
        </w:rPr>
        <w:t>razdjeli</w:t>
      </w:r>
      <w:r>
        <w:rPr>
          <w:szCs w:val="20"/>
          <w:lang w:val="hr-HR"/>
        </w:rPr>
        <w:t xml:space="preserve"> trebaju kompletirati svoje proračunske zahtjeve za fiskalnu </w:t>
      </w:r>
      <w:r w:rsidR="00FE4EF9">
        <w:rPr>
          <w:szCs w:val="20"/>
          <w:lang w:val="hr-HR"/>
        </w:rPr>
        <w:t>2023</w:t>
      </w:r>
      <w:r>
        <w:rPr>
          <w:szCs w:val="20"/>
          <w:lang w:val="hr-HR"/>
        </w:rPr>
        <w:t>. godinu u skladu s proračunskim ograničenjima i ovom instrukcijom</w:t>
      </w:r>
      <w:r w:rsidR="00DF717E">
        <w:rPr>
          <w:szCs w:val="20"/>
          <w:lang w:val="hr-HR"/>
        </w:rPr>
        <w:t>,</w:t>
      </w:r>
      <w:r>
        <w:rPr>
          <w:szCs w:val="20"/>
          <w:lang w:val="hr-HR"/>
        </w:rPr>
        <w:t xml:space="preserve"> i </w:t>
      </w:r>
      <w:r w:rsidR="00B408F5">
        <w:rPr>
          <w:szCs w:val="20"/>
          <w:lang w:val="hr-HR"/>
        </w:rPr>
        <w:t>tiskanu verziju zahtjeva</w:t>
      </w:r>
      <w:r w:rsidR="00DF717E">
        <w:rPr>
          <w:szCs w:val="20"/>
          <w:lang w:val="hr-HR"/>
        </w:rPr>
        <w:t>, zajedno s pomoćnim obrascima</w:t>
      </w:r>
      <w:r w:rsidR="00B408F5">
        <w:rPr>
          <w:szCs w:val="20"/>
          <w:lang w:val="hr-HR"/>
        </w:rPr>
        <w:t xml:space="preserve"> dostaviti Ministarstvu financija </w:t>
      </w:r>
      <w:r>
        <w:rPr>
          <w:szCs w:val="20"/>
          <w:lang w:val="hr-HR"/>
        </w:rPr>
        <w:t xml:space="preserve">najkasnije </w:t>
      </w:r>
      <w:r w:rsidRPr="009B360A">
        <w:rPr>
          <w:b/>
          <w:bCs/>
          <w:szCs w:val="20"/>
          <w:u w:val="single"/>
          <w:lang w:val="hr-HR"/>
        </w:rPr>
        <w:t xml:space="preserve">do </w:t>
      </w:r>
      <w:r w:rsidR="00252832">
        <w:rPr>
          <w:b/>
          <w:bCs/>
          <w:szCs w:val="20"/>
          <w:u w:val="single"/>
          <w:lang w:val="hr-HR"/>
        </w:rPr>
        <w:t>15</w:t>
      </w:r>
      <w:r w:rsidR="001538BE">
        <w:rPr>
          <w:b/>
          <w:bCs/>
          <w:szCs w:val="20"/>
          <w:u w:val="single"/>
          <w:lang w:val="hr-HR"/>
        </w:rPr>
        <w:t>.</w:t>
      </w:r>
      <w:r w:rsidR="00FD255A">
        <w:rPr>
          <w:b/>
          <w:bCs/>
          <w:szCs w:val="20"/>
          <w:u w:val="single"/>
          <w:lang w:val="hr-HR"/>
        </w:rPr>
        <w:t>0</w:t>
      </w:r>
      <w:r w:rsidR="00FE4EF9">
        <w:rPr>
          <w:b/>
          <w:bCs/>
          <w:szCs w:val="20"/>
          <w:u w:val="single"/>
          <w:lang w:val="hr-HR"/>
        </w:rPr>
        <w:t>9</w:t>
      </w:r>
      <w:r w:rsidRPr="009B360A">
        <w:rPr>
          <w:b/>
          <w:bCs/>
          <w:szCs w:val="20"/>
          <w:u w:val="single"/>
          <w:lang w:val="hr-HR"/>
        </w:rPr>
        <w:t>.</w:t>
      </w:r>
      <w:r w:rsidR="00FE4EF9">
        <w:rPr>
          <w:b/>
          <w:bCs/>
          <w:szCs w:val="20"/>
          <w:u w:val="single"/>
          <w:lang w:val="hr-HR"/>
        </w:rPr>
        <w:t>2022</w:t>
      </w:r>
      <w:r w:rsidR="001538BE">
        <w:rPr>
          <w:b/>
          <w:bCs/>
          <w:szCs w:val="20"/>
          <w:u w:val="single"/>
          <w:lang w:val="hr-HR"/>
        </w:rPr>
        <w:t>.</w:t>
      </w:r>
      <w:r w:rsidRPr="009B360A">
        <w:rPr>
          <w:szCs w:val="20"/>
          <w:u w:val="single"/>
          <w:lang w:val="hr-HR"/>
        </w:rPr>
        <w:t xml:space="preserve"> </w:t>
      </w:r>
      <w:r w:rsidRPr="009B360A">
        <w:rPr>
          <w:b/>
          <w:bCs/>
          <w:szCs w:val="20"/>
          <w:u w:val="single"/>
          <w:lang w:val="hr-HR"/>
        </w:rPr>
        <w:t>godine</w:t>
      </w:r>
      <w:r>
        <w:rPr>
          <w:szCs w:val="20"/>
          <w:lang w:val="hr-HR"/>
        </w:rPr>
        <w:t>.</w:t>
      </w:r>
      <w:r w:rsidR="00BB1A38">
        <w:rPr>
          <w:szCs w:val="20"/>
          <w:lang w:val="hr-HR"/>
        </w:rPr>
        <w:t xml:space="preserve"> </w:t>
      </w:r>
    </w:p>
    <w:p w:rsidR="00DF717E" w:rsidRDefault="00DF717E" w:rsidP="00DF717E">
      <w:pPr>
        <w:tabs>
          <w:tab w:val="left" w:pos="1418"/>
        </w:tabs>
        <w:ind w:left="360"/>
        <w:jc w:val="both"/>
        <w:rPr>
          <w:szCs w:val="20"/>
          <w:lang w:val="hr-HR"/>
        </w:rPr>
      </w:pPr>
    </w:p>
    <w:p w:rsidR="001A265D" w:rsidRDefault="001A265D" w:rsidP="00386FBA">
      <w:pPr>
        <w:numPr>
          <w:ilvl w:val="0"/>
          <w:numId w:val="6"/>
        </w:numPr>
        <w:jc w:val="both"/>
        <w:rPr>
          <w:szCs w:val="20"/>
          <w:lang w:val="hr-HR"/>
        </w:rPr>
      </w:pPr>
      <w:r>
        <w:rPr>
          <w:szCs w:val="20"/>
          <w:lang w:val="hr-HR"/>
        </w:rPr>
        <w:t>Ukupna proraču</w:t>
      </w:r>
      <w:r w:rsidR="00772A4C">
        <w:rPr>
          <w:szCs w:val="20"/>
          <w:lang w:val="hr-HR"/>
        </w:rPr>
        <w:t>n</w:t>
      </w:r>
      <w:r>
        <w:rPr>
          <w:szCs w:val="20"/>
          <w:lang w:val="hr-HR"/>
        </w:rPr>
        <w:t xml:space="preserve">ska sredstva ne </w:t>
      </w:r>
      <w:r>
        <w:rPr>
          <w:bCs/>
          <w:szCs w:val="20"/>
          <w:lang w:val="hr-HR"/>
        </w:rPr>
        <w:t xml:space="preserve">smiju prijeći iznos </w:t>
      </w:r>
      <w:r>
        <w:rPr>
          <w:szCs w:val="20"/>
          <w:lang w:val="hr-HR"/>
        </w:rPr>
        <w:t>odobrenih proračunskih ograničenja kako je savjetovano od strane Ministarstva financija</w:t>
      </w:r>
      <w:r w:rsidR="00BB1A38">
        <w:rPr>
          <w:szCs w:val="20"/>
          <w:lang w:val="hr-HR"/>
        </w:rPr>
        <w:t>,</w:t>
      </w:r>
      <w:r>
        <w:rPr>
          <w:szCs w:val="20"/>
          <w:lang w:val="hr-HR"/>
        </w:rPr>
        <w:t xml:space="preserve"> i kako je navedeno u ovim instrukcijama. </w:t>
      </w:r>
      <w:r w:rsidR="00E22E16">
        <w:rPr>
          <w:szCs w:val="20"/>
          <w:lang w:val="hr-HR"/>
        </w:rPr>
        <w:t>P</w:t>
      </w:r>
      <w:r w:rsidR="00B408F5">
        <w:rPr>
          <w:szCs w:val="20"/>
          <w:lang w:val="hr-HR"/>
        </w:rPr>
        <w:t>otrebu za dodatnim sredstvima</w:t>
      </w:r>
      <w:r w:rsidR="00FD255A">
        <w:rPr>
          <w:szCs w:val="20"/>
          <w:lang w:val="hr-HR"/>
        </w:rPr>
        <w:t xml:space="preserve">, ukupno i </w:t>
      </w:r>
      <w:r w:rsidR="00B408F5">
        <w:rPr>
          <w:szCs w:val="20"/>
          <w:lang w:val="hr-HR"/>
        </w:rPr>
        <w:t xml:space="preserve">po pojedinoj </w:t>
      </w:r>
      <w:proofErr w:type="spellStart"/>
      <w:r w:rsidR="00B408F5">
        <w:rPr>
          <w:szCs w:val="20"/>
          <w:lang w:val="hr-HR"/>
        </w:rPr>
        <w:t>aproprijaciji</w:t>
      </w:r>
      <w:proofErr w:type="spellEnd"/>
      <w:r w:rsidR="00FD255A">
        <w:rPr>
          <w:szCs w:val="20"/>
          <w:lang w:val="hr-HR"/>
        </w:rPr>
        <w:t>,</w:t>
      </w:r>
      <w:r w:rsidR="00B408F5">
        <w:rPr>
          <w:szCs w:val="20"/>
          <w:lang w:val="hr-HR"/>
        </w:rPr>
        <w:t xml:space="preserve"> korisnik mora posebno navesti i obrazložiti</w:t>
      </w:r>
      <w:r w:rsidR="00974959">
        <w:rPr>
          <w:szCs w:val="20"/>
          <w:lang w:val="hr-HR"/>
        </w:rPr>
        <w:t xml:space="preserve"> u obrazloženju </w:t>
      </w:r>
      <w:r w:rsidR="00FD255A">
        <w:rPr>
          <w:szCs w:val="20"/>
          <w:lang w:val="hr-HR"/>
        </w:rPr>
        <w:t>zahtjeva</w:t>
      </w:r>
      <w:r w:rsidR="00E22E16">
        <w:rPr>
          <w:szCs w:val="20"/>
          <w:lang w:val="hr-HR"/>
        </w:rPr>
        <w:t>.</w:t>
      </w:r>
    </w:p>
    <w:p w:rsidR="00974959" w:rsidRDefault="00974959" w:rsidP="00386FBA">
      <w:pPr>
        <w:ind w:left="360"/>
        <w:jc w:val="both"/>
        <w:rPr>
          <w:szCs w:val="20"/>
          <w:lang w:val="hr-HR"/>
        </w:rPr>
      </w:pPr>
    </w:p>
    <w:p w:rsidR="001A265D" w:rsidRDefault="00974959" w:rsidP="00386FBA">
      <w:pPr>
        <w:numPr>
          <w:ilvl w:val="0"/>
          <w:numId w:val="6"/>
        </w:numPr>
        <w:jc w:val="both"/>
        <w:rPr>
          <w:szCs w:val="20"/>
          <w:lang w:val="hr-HR"/>
        </w:rPr>
      </w:pPr>
      <w:r w:rsidRPr="00974959">
        <w:rPr>
          <w:szCs w:val="20"/>
          <w:lang w:val="hr-HR"/>
        </w:rPr>
        <w:t xml:space="preserve">Utvrđeni limiti potrošnje po proračunskom </w:t>
      </w:r>
      <w:r w:rsidR="00FD255A">
        <w:rPr>
          <w:szCs w:val="20"/>
          <w:lang w:val="hr-HR"/>
        </w:rPr>
        <w:t>razdjelu</w:t>
      </w:r>
      <w:r w:rsidRPr="00974959">
        <w:rPr>
          <w:szCs w:val="20"/>
          <w:lang w:val="hr-HR"/>
        </w:rPr>
        <w:t xml:space="preserve"> odnose se isključivo na rashode iz </w:t>
      </w:r>
      <w:r w:rsidRPr="00974959">
        <w:rPr>
          <w:b/>
          <w:szCs w:val="20"/>
          <w:lang w:val="hr-HR"/>
        </w:rPr>
        <w:t>proračunskih sredstava</w:t>
      </w:r>
      <w:r w:rsidRPr="00974959">
        <w:rPr>
          <w:szCs w:val="20"/>
          <w:lang w:val="hr-HR"/>
        </w:rPr>
        <w:t xml:space="preserve">, dok se od proračunskog korisnika očekuje da rashode koji se financiraju iz ostalih izvora (namjenskih sredstava, tekućih i kapitalnih potpora) samostalno planiraju s planom </w:t>
      </w:r>
      <w:r w:rsidR="00FD255A">
        <w:rPr>
          <w:szCs w:val="20"/>
          <w:lang w:val="hr-HR"/>
        </w:rPr>
        <w:t xml:space="preserve">navedenih </w:t>
      </w:r>
      <w:r w:rsidRPr="00974959">
        <w:rPr>
          <w:szCs w:val="20"/>
          <w:lang w:val="hr-HR"/>
        </w:rPr>
        <w:t xml:space="preserve">prihoda. </w:t>
      </w:r>
    </w:p>
    <w:p w:rsidR="00974959" w:rsidRPr="00974959" w:rsidRDefault="00974959" w:rsidP="00386FBA">
      <w:pPr>
        <w:ind w:left="360"/>
        <w:jc w:val="both"/>
        <w:rPr>
          <w:szCs w:val="20"/>
          <w:lang w:val="hr-HR"/>
        </w:rPr>
      </w:pPr>
    </w:p>
    <w:p w:rsidR="001A265D" w:rsidRDefault="001A265D" w:rsidP="00386FBA">
      <w:pPr>
        <w:ind w:firstLine="708"/>
        <w:jc w:val="both"/>
        <w:rPr>
          <w:bCs/>
          <w:szCs w:val="20"/>
          <w:lang w:val="hr-HR"/>
        </w:rPr>
      </w:pPr>
      <w:r>
        <w:rPr>
          <w:bCs/>
          <w:szCs w:val="20"/>
          <w:lang w:val="hr-HR"/>
        </w:rPr>
        <w:t>Proračunski korisnici moraju znati da će propust u izvršenju ovih instrukcija rezultirati time što će Ministarstvo financija biti prisiljeno samo sačiniti preporuke Vladi vezano za alokaciju sredstava po svakom od tih proraču</w:t>
      </w:r>
      <w:r w:rsidR="00772A4C">
        <w:rPr>
          <w:bCs/>
          <w:szCs w:val="20"/>
          <w:lang w:val="hr-HR"/>
        </w:rPr>
        <w:t>n</w:t>
      </w:r>
      <w:r>
        <w:rPr>
          <w:bCs/>
          <w:szCs w:val="20"/>
          <w:lang w:val="hr-HR"/>
        </w:rPr>
        <w:t xml:space="preserve">skih korisnika. </w:t>
      </w:r>
    </w:p>
    <w:p w:rsidR="001A265D" w:rsidRDefault="001A265D" w:rsidP="00386FBA">
      <w:pPr>
        <w:jc w:val="both"/>
        <w:rPr>
          <w:szCs w:val="20"/>
          <w:lang w:val="hr-HR"/>
        </w:rPr>
      </w:pPr>
      <w:r>
        <w:rPr>
          <w:szCs w:val="20"/>
          <w:lang w:val="hr-HR"/>
        </w:rPr>
        <w:t xml:space="preserve">            </w:t>
      </w:r>
    </w:p>
    <w:p w:rsidR="00252832" w:rsidRDefault="001A265D" w:rsidP="00386FBA">
      <w:pPr>
        <w:jc w:val="both"/>
        <w:rPr>
          <w:szCs w:val="20"/>
          <w:lang w:val="hr-HR"/>
        </w:rPr>
      </w:pPr>
      <w:r>
        <w:rPr>
          <w:szCs w:val="20"/>
          <w:lang w:val="hr-HR"/>
        </w:rPr>
        <w:tab/>
      </w:r>
      <w:r w:rsidRPr="00252832">
        <w:rPr>
          <w:b/>
          <w:bCs/>
          <w:szCs w:val="20"/>
          <w:lang w:val="hr-HR"/>
        </w:rPr>
        <w:t>NAPOMENA</w:t>
      </w:r>
      <w:r w:rsidRPr="00252832">
        <w:rPr>
          <w:szCs w:val="20"/>
          <w:lang w:val="hr-HR"/>
        </w:rPr>
        <w:t xml:space="preserve">: </w:t>
      </w:r>
      <w:r w:rsidR="00FD255A" w:rsidRPr="00252832">
        <w:rPr>
          <w:szCs w:val="20"/>
          <w:lang w:val="hr-HR"/>
        </w:rPr>
        <w:t>Tablice proračunskih zahtjeva i p</w:t>
      </w:r>
      <w:r w:rsidRPr="00252832">
        <w:rPr>
          <w:szCs w:val="20"/>
          <w:lang w:val="hr-HR"/>
        </w:rPr>
        <w:t>omoćn</w:t>
      </w:r>
      <w:r w:rsidR="00D640EF" w:rsidRPr="00252832">
        <w:rPr>
          <w:szCs w:val="20"/>
          <w:lang w:val="hr-HR"/>
        </w:rPr>
        <w:t>e</w:t>
      </w:r>
      <w:r w:rsidRPr="00252832">
        <w:rPr>
          <w:szCs w:val="20"/>
          <w:lang w:val="hr-HR"/>
        </w:rPr>
        <w:t xml:space="preserve"> obrasc</w:t>
      </w:r>
      <w:r w:rsidR="00D640EF" w:rsidRPr="00252832">
        <w:rPr>
          <w:szCs w:val="20"/>
          <w:lang w:val="hr-HR"/>
        </w:rPr>
        <w:t>e</w:t>
      </w:r>
      <w:r w:rsidRPr="00252832">
        <w:rPr>
          <w:szCs w:val="20"/>
          <w:lang w:val="hr-HR"/>
        </w:rPr>
        <w:t xml:space="preserve"> (</w:t>
      </w:r>
      <w:r w:rsidR="00D640EF" w:rsidRPr="00252832">
        <w:rPr>
          <w:szCs w:val="20"/>
          <w:lang w:val="hr-HR"/>
        </w:rPr>
        <w:t>t</w:t>
      </w:r>
      <w:r w:rsidRPr="00252832">
        <w:rPr>
          <w:szCs w:val="20"/>
          <w:lang w:val="hr-HR"/>
        </w:rPr>
        <w:t>ablic</w:t>
      </w:r>
      <w:r w:rsidR="00D640EF" w:rsidRPr="00252832">
        <w:rPr>
          <w:szCs w:val="20"/>
          <w:lang w:val="hr-HR"/>
        </w:rPr>
        <w:t xml:space="preserve">e: </w:t>
      </w:r>
      <w:r w:rsidR="00DF717E" w:rsidRPr="00252832">
        <w:rPr>
          <w:szCs w:val="20"/>
          <w:lang w:val="hr-HR"/>
        </w:rPr>
        <w:t>TB-</w:t>
      </w:r>
      <w:r w:rsidR="00D640EF" w:rsidRPr="00252832">
        <w:rPr>
          <w:szCs w:val="20"/>
          <w:lang w:val="hr-HR"/>
        </w:rPr>
        <w:t xml:space="preserve">A, </w:t>
      </w:r>
      <w:r w:rsidR="00DF717E" w:rsidRPr="00252832">
        <w:rPr>
          <w:szCs w:val="20"/>
          <w:lang w:val="hr-HR"/>
        </w:rPr>
        <w:t>TB-</w:t>
      </w:r>
      <w:r w:rsidR="00D640EF" w:rsidRPr="00252832">
        <w:rPr>
          <w:szCs w:val="20"/>
          <w:lang w:val="hr-HR"/>
        </w:rPr>
        <w:t xml:space="preserve">B, </w:t>
      </w:r>
      <w:r w:rsidR="00DF717E" w:rsidRPr="00252832">
        <w:rPr>
          <w:szCs w:val="20"/>
          <w:lang w:val="hr-HR"/>
        </w:rPr>
        <w:t>TB-</w:t>
      </w:r>
      <w:r w:rsidR="00D640EF" w:rsidRPr="00252832">
        <w:rPr>
          <w:szCs w:val="20"/>
          <w:lang w:val="hr-HR"/>
        </w:rPr>
        <w:t>C</w:t>
      </w:r>
      <w:r w:rsidR="00FD255A" w:rsidRPr="00252832">
        <w:rPr>
          <w:szCs w:val="20"/>
          <w:lang w:val="hr-HR"/>
        </w:rPr>
        <w:t>,</w:t>
      </w:r>
      <w:r w:rsidR="00D640EF" w:rsidRPr="00252832">
        <w:rPr>
          <w:szCs w:val="20"/>
          <w:lang w:val="hr-HR"/>
        </w:rPr>
        <w:t xml:space="preserve"> </w:t>
      </w:r>
      <w:r w:rsidR="00DF717E" w:rsidRPr="00252832">
        <w:rPr>
          <w:szCs w:val="20"/>
          <w:lang w:val="hr-HR"/>
        </w:rPr>
        <w:t>TB-</w:t>
      </w:r>
      <w:r w:rsidR="00D640EF" w:rsidRPr="00252832">
        <w:rPr>
          <w:szCs w:val="20"/>
          <w:lang w:val="hr-HR"/>
        </w:rPr>
        <w:t>D</w:t>
      </w:r>
      <w:r w:rsidR="00FD255A" w:rsidRPr="00252832">
        <w:rPr>
          <w:szCs w:val="20"/>
          <w:lang w:val="hr-HR"/>
        </w:rPr>
        <w:t xml:space="preserve"> i TB-E</w:t>
      </w:r>
      <w:r w:rsidR="00D640EF" w:rsidRPr="00252832">
        <w:rPr>
          <w:szCs w:val="20"/>
          <w:lang w:val="hr-HR"/>
        </w:rPr>
        <w:t xml:space="preserve">) </w:t>
      </w:r>
      <w:r w:rsidRPr="00252832">
        <w:rPr>
          <w:szCs w:val="20"/>
          <w:lang w:val="hr-HR"/>
        </w:rPr>
        <w:t xml:space="preserve"> </w:t>
      </w:r>
      <w:r w:rsidR="00D640EF" w:rsidRPr="00252832">
        <w:rPr>
          <w:szCs w:val="20"/>
          <w:lang w:val="hr-HR"/>
        </w:rPr>
        <w:t xml:space="preserve">trebate skinuti sa </w:t>
      </w:r>
      <w:r w:rsidRPr="00252832">
        <w:rPr>
          <w:szCs w:val="20"/>
          <w:lang w:val="hr-HR"/>
        </w:rPr>
        <w:t>web stranic</w:t>
      </w:r>
      <w:r w:rsidR="00D640EF" w:rsidRPr="00252832">
        <w:rPr>
          <w:szCs w:val="20"/>
          <w:lang w:val="hr-HR"/>
        </w:rPr>
        <w:t>e</w:t>
      </w:r>
      <w:r w:rsidRPr="00252832">
        <w:rPr>
          <w:szCs w:val="20"/>
          <w:lang w:val="hr-HR"/>
        </w:rPr>
        <w:t xml:space="preserve"> Ministarstva financija Županije Posavske (</w:t>
      </w:r>
      <w:hyperlink r:id="rId7" w:history="1">
        <w:r w:rsidRPr="00252832">
          <w:rPr>
            <w:rStyle w:val="Hiperveza"/>
            <w:szCs w:val="20"/>
            <w:lang w:val="hr-HR"/>
          </w:rPr>
          <w:t>www.zupanijaposavska.ba/ministarstvo-financija</w:t>
        </w:r>
      </w:hyperlink>
      <w:r w:rsidRPr="00252832">
        <w:rPr>
          <w:szCs w:val="20"/>
          <w:lang w:val="hr-HR"/>
        </w:rPr>
        <w:t>/)</w:t>
      </w:r>
      <w:r w:rsidR="008F707B" w:rsidRPr="00252832">
        <w:rPr>
          <w:szCs w:val="20"/>
          <w:lang w:val="hr-HR"/>
        </w:rPr>
        <w:t>, ili ih na upit možete dobiti od Sektora za proračun</w:t>
      </w:r>
      <w:r w:rsidR="00D640EF" w:rsidRPr="00252832">
        <w:rPr>
          <w:szCs w:val="20"/>
          <w:lang w:val="hr-HR"/>
        </w:rPr>
        <w:t xml:space="preserve">. </w:t>
      </w:r>
      <w:r w:rsidR="0083716C" w:rsidRPr="00252832">
        <w:rPr>
          <w:szCs w:val="20"/>
          <w:lang w:val="hr-HR"/>
        </w:rPr>
        <w:t>Na istom linku n</w:t>
      </w:r>
      <w:r w:rsidR="00FD255A" w:rsidRPr="00252832">
        <w:rPr>
          <w:szCs w:val="20"/>
          <w:lang w:val="hr-HR"/>
        </w:rPr>
        <w:t>alaziti će se i ova instrukcija</w:t>
      </w:r>
      <w:r w:rsidR="0083716C" w:rsidRPr="00252832">
        <w:rPr>
          <w:szCs w:val="20"/>
          <w:lang w:val="hr-HR"/>
        </w:rPr>
        <w:t xml:space="preserve">. </w:t>
      </w:r>
    </w:p>
    <w:p w:rsidR="001A265D" w:rsidRDefault="00252832" w:rsidP="00252832">
      <w:pPr>
        <w:ind w:firstLine="708"/>
        <w:jc w:val="both"/>
        <w:rPr>
          <w:szCs w:val="20"/>
          <w:lang w:val="hr-HR"/>
        </w:rPr>
      </w:pPr>
      <w:r w:rsidRPr="00252832">
        <w:rPr>
          <w:szCs w:val="20"/>
          <w:lang w:val="hr-HR"/>
        </w:rPr>
        <w:t>Molimo proračunske korisnike da, u cilju bolje</w:t>
      </w:r>
      <w:r>
        <w:rPr>
          <w:szCs w:val="20"/>
          <w:lang w:val="hr-HR"/>
        </w:rPr>
        <w:t xml:space="preserve"> preglednosti i očuvanja točnosti zahtjeva, kao i njihove lakše konsolidacije, ne koriste samostalno kreirane tablice zahtjeva odnosno tablice zahtjeva iz prethodnih godina.</w:t>
      </w:r>
    </w:p>
    <w:p w:rsidR="00252832" w:rsidRDefault="00252832" w:rsidP="00252832">
      <w:pPr>
        <w:ind w:firstLine="708"/>
        <w:jc w:val="both"/>
        <w:rPr>
          <w:szCs w:val="20"/>
          <w:lang w:val="hr-HR"/>
        </w:rPr>
      </w:pPr>
      <w:r w:rsidRPr="00252832">
        <w:rPr>
          <w:szCs w:val="20"/>
          <w:lang w:val="hr-HR"/>
        </w:rPr>
        <w:t xml:space="preserve">Za sve nejasnoće obratite se Sektoru za proračun, kontakt: Ružica Živković, </w:t>
      </w:r>
      <w:proofErr w:type="spellStart"/>
      <w:r w:rsidRPr="00252832">
        <w:rPr>
          <w:szCs w:val="20"/>
          <w:lang w:val="hr-HR"/>
        </w:rPr>
        <w:t>tel</w:t>
      </w:r>
      <w:proofErr w:type="spellEnd"/>
      <w:r w:rsidRPr="00252832">
        <w:rPr>
          <w:szCs w:val="20"/>
          <w:lang w:val="hr-HR"/>
        </w:rPr>
        <w:t xml:space="preserve">: 713 265 </w:t>
      </w:r>
      <w:proofErr w:type="spellStart"/>
      <w:r w:rsidRPr="00252832">
        <w:rPr>
          <w:szCs w:val="20"/>
          <w:lang w:val="hr-HR"/>
        </w:rPr>
        <w:t>lok</w:t>
      </w:r>
      <w:proofErr w:type="spellEnd"/>
      <w:r w:rsidRPr="00252832">
        <w:rPr>
          <w:szCs w:val="20"/>
          <w:lang w:val="hr-HR"/>
        </w:rPr>
        <w:t xml:space="preserve">. 167 odnosno na e-mail: </w:t>
      </w:r>
      <w:hyperlink r:id="rId8" w:history="1">
        <w:r w:rsidRPr="00252832">
          <w:rPr>
            <w:rStyle w:val="Hiperveza"/>
            <w:szCs w:val="20"/>
            <w:lang w:val="hr-HR"/>
          </w:rPr>
          <w:t>ruzica.zivkovic@zupanijaposavska.ba</w:t>
        </w:r>
      </w:hyperlink>
      <w:r w:rsidRPr="00252832">
        <w:rPr>
          <w:szCs w:val="20"/>
          <w:lang w:val="hr-HR"/>
        </w:rPr>
        <w:t xml:space="preserve">. </w:t>
      </w:r>
    </w:p>
    <w:p w:rsidR="001A265D" w:rsidRDefault="001A265D" w:rsidP="00386FBA">
      <w:pPr>
        <w:ind w:firstLine="708"/>
        <w:jc w:val="both"/>
        <w:rPr>
          <w:spacing w:val="-2"/>
          <w:lang w:val="hr-HR"/>
        </w:rPr>
      </w:pPr>
    </w:p>
    <w:p w:rsidR="001A265D" w:rsidRDefault="001A265D" w:rsidP="00386FBA">
      <w:pPr>
        <w:rPr>
          <w:lang w:val="hr-HR"/>
        </w:rPr>
      </w:pPr>
    </w:p>
    <w:p w:rsidR="001A265D" w:rsidRDefault="001A265D" w:rsidP="00386FBA">
      <w:pPr>
        <w:rPr>
          <w:lang w:val="hr-HR"/>
        </w:rPr>
      </w:pPr>
    </w:p>
    <w:p w:rsidR="001A265D" w:rsidRDefault="001A265D" w:rsidP="00386FBA">
      <w:pPr>
        <w:pStyle w:val="Podnoje"/>
        <w:tabs>
          <w:tab w:val="clear" w:pos="4536"/>
          <w:tab w:val="clear" w:pos="9072"/>
        </w:tabs>
        <w:ind w:firstLine="708"/>
        <w:rPr>
          <w:lang w:val="hr-HR"/>
        </w:rPr>
      </w:pPr>
      <w:r>
        <w:rPr>
          <w:lang w:val="hr-HR"/>
        </w:rPr>
        <w:t>S poštovanjem,</w:t>
      </w:r>
    </w:p>
    <w:p w:rsidR="001A265D" w:rsidRDefault="001A265D" w:rsidP="00386FBA">
      <w:pPr>
        <w:rPr>
          <w:lang w:val="hr-HR"/>
        </w:rPr>
      </w:pPr>
    </w:p>
    <w:p w:rsidR="001A265D" w:rsidRDefault="001A265D" w:rsidP="00386FBA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</w:t>
      </w:r>
      <w:r w:rsidR="00FD255A">
        <w:rPr>
          <w:lang w:val="hr-HR"/>
        </w:rPr>
        <w:t>Ministar</w:t>
      </w:r>
      <w:r>
        <w:rPr>
          <w:lang w:val="hr-HR"/>
        </w:rPr>
        <w:t>:</w:t>
      </w:r>
    </w:p>
    <w:p w:rsidR="001A265D" w:rsidRDefault="001A265D" w:rsidP="00386FBA">
      <w:pPr>
        <w:rPr>
          <w:lang w:val="hr-HR"/>
        </w:rPr>
      </w:pPr>
      <w:r>
        <w:rPr>
          <w:lang w:val="hr-HR"/>
        </w:rPr>
        <w:t xml:space="preserve">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</w:t>
      </w:r>
      <w:r w:rsidR="00FD255A">
        <w:rPr>
          <w:lang w:val="hr-HR"/>
        </w:rPr>
        <w:t>Mijo</w:t>
      </w:r>
      <w:r>
        <w:rPr>
          <w:lang w:val="hr-HR"/>
        </w:rPr>
        <w:t xml:space="preserve"> </w:t>
      </w:r>
      <w:r w:rsidR="00FD255A">
        <w:rPr>
          <w:lang w:val="hr-HR"/>
        </w:rPr>
        <w:t>Stanić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dipl.oec</w:t>
      </w:r>
      <w:proofErr w:type="spellEnd"/>
      <w:r>
        <w:rPr>
          <w:lang w:val="hr-HR"/>
        </w:rPr>
        <w:t>.</w:t>
      </w:r>
    </w:p>
    <w:p w:rsidR="001A265D" w:rsidRDefault="001A265D" w:rsidP="00386FBA">
      <w:pPr>
        <w:rPr>
          <w:lang w:val="hr-HR"/>
        </w:rPr>
      </w:pPr>
      <w:r>
        <w:rPr>
          <w:lang w:val="hr-HR"/>
        </w:rPr>
        <w:t>Dostaviti:</w:t>
      </w:r>
    </w:p>
    <w:p w:rsidR="001A265D" w:rsidRDefault="001A265D" w:rsidP="00386FBA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Proračunski </w:t>
      </w:r>
      <w:r w:rsidR="00FD255A">
        <w:rPr>
          <w:lang w:val="hr-HR"/>
        </w:rPr>
        <w:t>razdjeli</w:t>
      </w:r>
      <w:r>
        <w:rPr>
          <w:lang w:val="hr-HR"/>
        </w:rPr>
        <w:t xml:space="preserve"> – svi;</w:t>
      </w:r>
    </w:p>
    <w:p w:rsidR="001A265D" w:rsidRDefault="001A265D" w:rsidP="00386FBA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a/a.</w:t>
      </w:r>
    </w:p>
    <w:p w:rsidR="001A265D" w:rsidRDefault="001A265D" w:rsidP="00386FBA">
      <w:pPr>
        <w:ind w:left="360"/>
        <w:jc w:val="both"/>
        <w:rPr>
          <w:lang w:val="hr-HR"/>
        </w:rPr>
      </w:pPr>
    </w:p>
    <w:p w:rsidR="001A265D" w:rsidRDefault="001A265D">
      <w:pPr>
        <w:ind w:left="360"/>
        <w:jc w:val="both"/>
        <w:rPr>
          <w:lang w:val="hr-BA"/>
        </w:rPr>
      </w:pPr>
    </w:p>
    <w:sectPr w:rsidR="001A265D" w:rsidSect="006147A2"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D8" w:rsidRDefault="005632D8">
      <w:r>
        <w:separator/>
      </w:r>
    </w:p>
  </w:endnote>
  <w:endnote w:type="continuationSeparator" w:id="0">
    <w:p w:rsidR="005632D8" w:rsidRDefault="0056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5D" w:rsidRDefault="00A922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A26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A265D" w:rsidRDefault="001A265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5D" w:rsidRDefault="00A922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A265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3CD7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1A265D" w:rsidRDefault="001A265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D8" w:rsidRDefault="005632D8">
      <w:r>
        <w:separator/>
      </w:r>
    </w:p>
  </w:footnote>
  <w:footnote w:type="continuationSeparator" w:id="0">
    <w:p w:rsidR="005632D8" w:rsidRDefault="0056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96"/>
    <w:multiLevelType w:val="hybridMultilevel"/>
    <w:tmpl w:val="18061D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F2B78"/>
    <w:multiLevelType w:val="hybridMultilevel"/>
    <w:tmpl w:val="E7065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05CA9"/>
    <w:multiLevelType w:val="hybridMultilevel"/>
    <w:tmpl w:val="31C02244"/>
    <w:lvl w:ilvl="0" w:tplc="FFFFFFFF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689"/>
    <w:multiLevelType w:val="hybridMultilevel"/>
    <w:tmpl w:val="001EB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3BF6"/>
    <w:multiLevelType w:val="hybridMultilevel"/>
    <w:tmpl w:val="11F2E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96912"/>
    <w:multiLevelType w:val="hybridMultilevel"/>
    <w:tmpl w:val="5644ED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252E13"/>
    <w:multiLevelType w:val="hybridMultilevel"/>
    <w:tmpl w:val="A7ACE8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A4331"/>
    <w:multiLevelType w:val="hybridMultilevel"/>
    <w:tmpl w:val="34C60A32"/>
    <w:lvl w:ilvl="0" w:tplc="AE6CD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A4C"/>
    <w:rsid w:val="0000001D"/>
    <w:rsid w:val="0005125D"/>
    <w:rsid w:val="00052856"/>
    <w:rsid w:val="0005707A"/>
    <w:rsid w:val="000908A3"/>
    <w:rsid w:val="000A45B0"/>
    <w:rsid w:val="000F5245"/>
    <w:rsid w:val="00137047"/>
    <w:rsid w:val="00144EC7"/>
    <w:rsid w:val="001538BE"/>
    <w:rsid w:val="00157290"/>
    <w:rsid w:val="0016515B"/>
    <w:rsid w:val="001A0906"/>
    <w:rsid w:val="001A265D"/>
    <w:rsid w:val="001C0BB3"/>
    <w:rsid w:val="001D4DB8"/>
    <w:rsid w:val="0021488D"/>
    <w:rsid w:val="00252832"/>
    <w:rsid w:val="0025478D"/>
    <w:rsid w:val="00262D16"/>
    <w:rsid w:val="00284DD5"/>
    <w:rsid w:val="00306558"/>
    <w:rsid w:val="00365AE6"/>
    <w:rsid w:val="00386FBA"/>
    <w:rsid w:val="00390AAC"/>
    <w:rsid w:val="00391A11"/>
    <w:rsid w:val="00396F14"/>
    <w:rsid w:val="003C794E"/>
    <w:rsid w:val="003D5A60"/>
    <w:rsid w:val="003F1455"/>
    <w:rsid w:val="0040286D"/>
    <w:rsid w:val="00437021"/>
    <w:rsid w:val="004655EE"/>
    <w:rsid w:val="0046638E"/>
    <w:rsid w:val="00472ABD"/>
    <w:rsid w:val="004C050A"/>
    <w:rsid w:val="004D61F3"/>
    <w:rsid w:val="004F52E1"/>
    <w:rsid w:val="00534B63"/>
    <w:rsid w:val="005632D8"/>
    <w:rsid w:val="00593BFE"/>
    <w:rsid w:val="005F4BC6"/>
    <w:rsid w:val="006147A2"/>
    <w:rsid w:val="00631FFE"/>
    <w:rsid w:val="00646402"/>
    <w:rsid w:val="006C482F"/>
    <w:rsid w:val="006D5B17"/>
    <w:rsid w:val="00772A4C"/>
    <w:rsid w:val="00783C5A"/>
    <w:rsid w:val="0079546D"/>
    <w:rsid w:val="007E41B4"/>
    <w:rsid w:val="007F7F63"/>
    <w:rsid w:val="008256BE"/>
    <w:rsid w:val="0083716C"/>
    <w:rsid w:val="008420A4"/>
    <w:rsid w:val="0085567A"/>
    <w:rsid w:val="00855E82"/>
    <w:rsid w:val="008F707B"/>
    <w:rsid w:val="00932914"/>
    <w:rsid w:val="00974959"/>
    <w:rsid w:val="00975DC2"/>
    <w:rsid w:val="0097653D"/>
    <w:rsid w:val="0098212B"/>
    <w:rsid w:val="009B23BD"/>
    <w:rsid w:val="009B360A"/>
    <w:rsid w:val="009B7477"/>
    <w:rsid w:val="009E0457"/>
    <w:rsid w:val="00A03296"/>
    <w:rsid w:val="00A25E4B"/>
    <w:rsid w:val="00A87873"/>
    <w:rsid w:val="00A92248"/>
    <w:rsid w:val="00A95D67"/>
    <w:rsid w:val="00AE7804"/>
    <w:rsid w:val="00B17922"/>
    <w:rsid w:val="00B408F5"/>
    <w:rsid w:val="00B44977"/>
    <w:rsid w:val="00B73903"/>
    <w:rsid w:val="00B80842"/>
    <w:rsid w:val="00BB1054"/>
    <w:rsid w:val="00BB1A38"/>
    <w:rsid w:val="00C12F36"/>
    <w:rsid w:val="00C27C59"/>
    <w:rsid w:val="00C55A63"/>
    <w:rsid w:val="00C61C24"/>
    <w:rsid w:val="00C65791"/>
    <w:rsid w:val="00C71EE4"/>
    <w:rsid w:val="00C72B26"/>
    <w:rsid w:val="00C9238F"/>
    <w:rsid w:val="00CA03EE"/>
    <w:rsid w:val="00CA7A87"/>
    <w:rsid w:val="00CE2680"/>
    <w:rsid w:val="00CE71DE"/>
    <w:rsid w:val="00D13CD7"/>
    <w:rsid w:val="00D22DEE"/>
    <w:rsid w:val="00D37E8D"/>
    <w:rsid w:val="00D57025"/>
    <w:rsid w:val="00D640EF"/>
    <w:rsid w:val="00D91EBD"/>
    <w:rsid w:val="00D92154"/>
    <w:rsid w:val="00D9748C"/>
    <w:rsid w:val="00DA1517"/>
    <w:rsid w:val="00DD621E"/>
    <w:rsid w:val="00DF717E"/>
    <w:rsid w:val="00E006BA"/>
    <w:rsid w:val="00E22E16"/>
    <w:rsid w:val="00E2487E"/>
    <w:rsid w:val="00E43168"/>
    <w:rsid w:val="00E8539F"/>
    <w:rsid w:val="00EA5513"/>
    <w:rsid w:val="00EE20D7"/>
    <w:rsid w:val="00F10F0C"/>
    <w:rsid w:val="00F56F47"/>
    <w:rsid w:val="00F86480"/>
    <w:rsid w:val="00F867FB"/>
    <w:rsid w:val="00FA33F8"/>
    <w:rsid w:val="00FD255A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147A2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6147A2"/>
    <w:pPr>
      <w:keepNext/>
      <w:spacing w:before="120"/>
      <w:ind w:firstLine="708"/>
      <w:outlineLvl w:val="1"/>
    </w:pPr>
    <w:rPr>
      <w:rFonts w:ascii="Book Antiqua" w:hAnsi="Book Antiqua"/>
      <w:b/>
      <w:bCs/>
      <w:i/>
      <w:iCs/>
      <w:lang w:val="hr-HR"/>
    </w:rPr>
  </w:style>
  <w:style w:type="paragraph" w:styleId="Naslov3">
    <w:name w:val="heading 3"/>
    <w:aliases w:val="Heading3,h3,3,1.,l3,H3,H3-Heading 3,l3.3,list 3,list3,heading 3,subhead,Heading No. L3,h31,3 bullet,b,Second,SECOND,3 Ggbullet,BLANK2,4 bullet,CT,hd3,Section,Head 3,Subheading,Task,Tsk,B Head,Para3,Sub-section Title,Function header 3,SideHead"/>
    <w:basedOn w:val="Normal"/>
    <w:next w:val="Normal"/>
    <w:qFormat/>
    <w:rsid w:val="006147A2"/>
    <w:pPr>
      <w:keepNext/>
      <w:spacing w:line="360" w:lineRule="auto"/>
      <w:jc w:val="right"/>
      <w:outlineLvl w:val="2"/>
    </w:pPr>
    <w:rPr>
      <w:u w:val="single"/>
      <w:lang w:val="hr-HR"/>
    </w:rPr>
  </w:style>
  <w:style w:type="paragraph" w:styleId="Naslov4">
    <w:name w:val="heading 4"/>
    <w:basedOn w:val="Normal"/>
    <w:next w:val="Normal"/>
    <w:qFormat/>
    <w:rsid w:val="006147A2"/>
    <w:pPr>
      <w:keepNext/>
      <w:ind w:firstLine="708"/>
      <w:jc w:val="both"/>
      <w:outlineLvl w:val="3"/>
    </w:pPr>
    <w:rPr>
      <w:b/>
      <w:bCs/>
      <w:i/>
      <w:iCs/>
      <w:spacing w:val="-2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semiHidden/>
    <w:rsid w:val="006147A2"/>
    <w:pPr>
      <w:ind w:left="360" w:firstLine="360"/>
      <w:jc w:val="both"/>
    </w:pPr>
    <w:rPr>
      <w:rFonts w:ascii="Book Antiqua" w:hAnsi="Book Antiqua"/>
      <w:lang w:val="hr-HR"/>
    </w:rPr>
  </w:style>
  <w:style w:type="paragraph" w:styleId="Podnoje">
    <w:name w:val="footer"/>
    <w:basedOn w:val="Normal"/>
    <w:semiHidden/>
    <w:rsid w:val="006147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6147A2"/>
  </w:style>
  <w:style w:type="paragraph" w:styleId="Uvuenotijeloteksta">
    <w:name w:val="Body Text Indent"/>
    <w:basedOn w:val="Normal"/>
    <w:semiHidden/>
    <w:rsid w:val="006147A2"/>
    <w:pPr>
      <w:ind w:firstLine="708"/>
      <w:jc w:val="both"/>
    </w:pPr>
    <w:rPr>
      <w:spacing w:val="-2"/>
      <w:lang w:val="hr-HR"/>
    </w:rPr>
  </w:style>
  <w:style w:type="paragraph" w:customStyle="1" w:styleId="ParagraphNumbering">
    <w:name w:val="Paragraph Numbering"/>
    <w:basedOn w:val="Normal"/>
    <w:rsid w:val="006147A2"/>
    <w:pPr>
      <w:numPr>
        <w:numId w:val="5"/>
      </w:numPr>
      <w:spacing w:after="240" w:line="264" w:lineRule="auto"/>
    </w:pPr>
    <w:rPr>
      <w:lang w:val="en-US"/>
    </w:rPr>
  </w:style>
  <w:style w:type="paragraph" w:styleId="Tijeloteksta">
    <w:name w:val="Body Text"/>
    <w:basedOn w:val="Normal"/>
    <w:semiHidden/>
    <w:rsid w:val="006147A2"/>
    <w:pPr>
      <w:jc w:val="both"/>
    </w:pPr>
    <w:rPr>
      <w:szCs w:val="20"/>
      <w:lang w:val="hr-HR"/>
    </w:rPr>
  </w:style>
  <w:style w:type="paragraph" w:styleId="Tijeloteksta-uvlaka3">
    <w:name w:val="Body Text Indent 3"/>
    <w:basedOn w:val="Normal"/>
    <w:semiHidden/>
    <w:rsid w:val="006147A2"/>
    <w:pPr>
      <w:spacing w:before="120"/>
      <w:ind w:left="708"/>
      <w:jc w:val="both"/>
    </w:pPr>
    <w:rPr>
      <w:lang w:val="hr-HR"/>
    </w:rPr>
  </w:style>
  <w:style w:type="character" w:styleId="Hiperveza">
    <w:name w:val="Hyperlink"/>
    <w:basedOn w:val="Zadanifontodlomka"/>
    <w:semiHidden/>
    <w:rsid w:val="006147A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73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3903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a.zivkovic@zupanijaposavsk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panijaposavska.ba/ministarstvo-finan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13893</CharactersWithSpaces>
  <SharedDoc>false</SharedDoc>
  <HLinks>
    <vt:vector size="6" baseType="variant">
      <vt:variant>
        <vt:i4>4980751</vt:i4>
      </vt:variant>
      <vt:variant>
        <vt:i4>0</vt:i4>
      </vt:variant>
      <vt:variant>
        <vt:i4>0</vt:i4>
      </vt:variant>
      <vt:variant>
        <vt:i4>5</vt:i4>
      </vt:variant>
      <vt:variant>
        <vt:lpwstr>http://www.zupanijaposavska.ba/ministarstvo-financija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operater</dc:creator>
  <cp:lastModifiedBy>Ružica Živković</cp:lastModifiedBy>
  <cp:revision>7</cp:revision>
  <cp:lastPrinted>2019-11-20T08:23:00Z</cp:lastPrinted>
  <dcterms:created xsi:type="dcterms:W3CDTF">2022-08-24T11:47:00Z</dcterms:created>
  <dcterms:modified xsi:type="dcterms:W3CDTF">2022-08-29T08:02:00Z</dcterms:modified>
</cp:coreProperties>
</file>